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E6CC1" w14:textId="77777777" w:rsidR="008C0855" w:rsidRPr="00B27035" w:rsidRDefault="008C0855" w:rsidP="008C0855">
      <w:pPr>
        <w:jc w:val="center"/>
        <w:rPr>
          <w:b/>
        </w:rPr>
      </w:pPr>
      <w:bookmarkStart w:id="0" w:name="_GoBack"/>
      <w:bookmarkEnd w:id="0"/>
      <w:r w:rsidRPr="00B27035">
        <w:rPr>
          <w:b/>
        </w:rPr>
        <w:t>UNITED STATES DISTRICT COURT</w:t>
      </w:r>
    </w:p>
    <w:p w14:paraId="633ED2BF" w14:textId="77777777" w:rsidR="008C0855" w:rsidRPr="00B27035" w:rsidRDefault="008C0855" w:rsidP="008C0855">
      <w:pPr>
        <w:jc w:val="center"/>
        <w:rPr>
          <w:b/>
        </w:rPr>
      </w:pPr>
      <w:r w:rsidRPr="00B27035">
        <w:rPr>
          <w:b/>
        </w:rPr>
        <w:t>DISTRICT OF MOOT</w:t>
      </w:r>
    </w:p>
    <w:p w14:paraId="7C27D0C9" w14:textId="77777777" w:rsidR="008C0855" w:rsidRPr="00B27035" w:rsidRDefault="008C0855" w:rsidP="008C0855"/>
    <w:tbl>
      <w:tblPr>
        <w:tblW w:w="9738" w:type="dxa"/>
        <w:tblLayout w:type="fixed"/>
        <w:tblLook w:val="0000" w:firstRow="0" w:lastRow="0" w:firstColumn="0" w:lastColumn="0" w:noHBand="0" w:noVBand="0"/>
      </w:tblPr>
      <w:tblGrid>
        <w:gridCol w:w="5238"/>
        <w:gridCol w:w="4500"/>
      </w:tblGrid>
      <w:tr w:rsidR="008C0855" w:rsidRPr="00B27035" w14:paraId="48C0295C" w14:textId="77777777" w:rsidTr="00B323BB">
        <w:tc>
          <w:tcPr>
            <w:tcW w:w="5238" w:type="dxa"/>
          </w:tcPr>
          <w:p w14:paraId="1E81A256" w14:textId="77777777" w:rsidR="008C0855" w:rsidRPr="00B27035" w:rsidRDefault="008C0855" w:rsidP="00B323BB">
            <w:pPr>
              <w:ind w:right="252"/>
            </w:pPr>
            <w:r w:rsidRPr="00B27035">
              <w:t>OGS TV, Inc.,</w:t>
            </w:r>
          </w:p>
          <w:p w14:paraId="6E3D85B2" w14:textId="77777777" w:rsidR="008C0855" w:rsidRPr="00B27035" w:rsidRDefault="008C0855" w:rsidP="00B323BB">
            <w:pPr>
              <w:ind w:right="972"/>
            </w:pPr>
          </w:p>
          <w:p w14:paraId="493EF04E" w14:textId="77777777" w:rsidR="008C0855" w:rsidRPr="00B27035" w:rsidRDefault="008C0855" w:rsidP="00B323BB">
            <w:pPr>
              <w:tabs>
                <w:tab w:val="left" w:pos="1260"/>
                <w:tab w:val="left" w:pos="2863"/>
                <w:tab w:val="right" w:pos="9360"/>
              </w:tabs>
              <w:ind w:right="972"/>
            </w:pPr>
            <w:r w:rsidRPr="00B27035">
              <w:tab/>
              <w:t>Plaintiff,</w:t>
            </w:r>
          </w:p>
          <w:p w14:paraId="0E95B6E2" w14:textId="77777777" w:rsidR="008C0855" w:rsidRPr="00B27035" w:rsidRDefault="008C0855" w:rsidP="00B323BB">
            <w:pPr>
              <w:tabs>
                <w:tab w:val="left" w:pos="2160"/>
              </w:tabs>
              <w:ind w:right="972"/>
            </w:pPr>
          </w:p>
          <w:p w14:paraId="2095A7B6" w14:textId="77777777" w:rsidR="008C0855" w:rsidRPr="00B27035" w:rsidRDefault="008C0855" w:rsidP="00B323BB">
            <w:pPr>
              <w:ind w:left="720" w:right="972"/>
            </w:pPr>
            <w:r w:rsidRPr="00B27035">
              <w:t>vs.</w:t>
            </w:r>
          </w:p>
          <w:p w14:paraId="284FC005" w14:textId="77777777" w:rsidR="008C0855" w:rsidRPr="00B27035" w:rsidRDefault="008C0855" w:rsidP="00B323BB">
            <w:pPr>
              <w:ind w:right="972"/>
            </w:pPr>
          </w:p>
          <w:p w14:paraId="16863D8F" w14:textId="77777777" w:rsidR="008C0855" w:rsidRPr="00B27035" w:rsidRDefault="008C0855" w:rsidP="00B323BB">
            <w:pPr>
              <w:ind w:right="342"/>
            </w:pPr>
            <w:r w:rsidRPr="00B27035">
              <w:t xml:space="preserve">Elizabeth Lime, and </w:t>
            </w:r>
            <w:proofErr w:type="spellStart"/>
            <w:r w:rsidRPr="00B27035">
              <w:t>TinyTV</w:t>
            </w:r>
            <w:proofErr w:type="spellEnd"/>
            <w:r w:rsidRPr="00B27035">
              <w:t>, Inc.,</w:t>
            </w:r>
          </w:p>
          <w:p w14:paraId="36F46433" w14:textId="77777777" w:rsidR="008C0855" w:rsidRPr="00B27035" w:rsidRDefault="008C0855" w:rsidP="00B323BB">
            <w:pPr>
              <w:ind w:right="972"/>
            </w:pPr>
          </w:p>
          <w:p w14:paraId="58B4DCC8" w14:textId="77777777" w:rsidR="008C0855" w:rsidRPr="00B27035" w:rsidRDefault="008C0855" w:rsidP="00B323BB">
            <w:pPr>
              <w:tabs>
                <w:tab w:val="left" w:pos="1260"/>
                <w:tab w:val="left" w:pos="2880"/>
                <w:tab w:val="right" w:pos="9360"/>
              </w:tabs>
              <w:ind w:right="972"/>
            </w:pPr>
            <w:r w:rsidRPr="00B27035">
              <w:tab/>
              <w:t>Defendants.</w:t>
            </w:r>
          </w:p>
          <w:p w14:paraId="2D86BFD8" w14:textId="77777777" w:rsidR="008C0855" w:rsidRPr="00B27035" w:rsidRDefault="008C0855" w:rsidP="00B323BB">
            <w:pPr>
              <w:tabs>
                <w:tab w:val="left" w:pos="1260"/>
                <w:tab w:val="right" w:pos="9360"/>
              </w:tabs>
              <w:ind w:right="972"/>
            </w:pPr>
          </w:p>
        </w:tc>
        <w:tc>
          <w:tcPr>
            <w:tcW w:w="4500" w:type="dxa"/>
          </w:tcPr>
          <w:p w14:paraId="257A9D7C" w14:textId="77777777" w:rsidR="008C0855" w:rsidRPr="00B27035" w:rsidRDefault="008C0855" w:rsidP="00B323BB">
            <w:pPr>
              <w:tabs>
                <w:tab w:val="right" w:pos="9360"/>
              </w:tabs>
              <w:ind w:left="-18" w:right="162" w:firstLine="18"/>
              <w:jc w:val="right"/>
            </w:pPr>
            <w:r w:rsidRPr="00B27035">
              <w:t>Civil File No. 27-CV-12-1234</w:t>
            </w:r>
          </w:p>
          <w:p w14:paraId="6BF8539E" w14:textId="77777777" w:rsidR="008C0855" w:rsidRPr="00B27035" w:rsidRDefault="008C0855" w:rsidP="00B323BB">
            <w:pPr>
              <w:tabs>
                <w:tab w:val="right" w:pos="9360"/>
              </w:tabs>
              <w:ind w:left="-18" w:right="162" w:firstLine="18"/>
              <w:jc w:val="right"/>
            </w:pPr>
          </w:p>
          <w:p w14:paraId="30ACCFBB" w14:textId="77777777" w:rsidR="008C0855" w:rsidRPr="00B27035" w:rsidRDefault="008C0855" w:rsidP="00B323BB">
            <w:pPr>
              <w:tabs>
                <w:tab w:val="right" w:pos="9360"/>
              </w:tabs>
              <w:ind w:left="-18" w:right="162" w:firstLine="18"/>
              <w:jc w:val="right"/>
              <w:rPr>
                <w:b/>
              </w:rPr>
            </w:pPr>
          </w:p>
          <w:p w14:paraId="70AA122C" w14:textId="77777777" w:rsidR="008C0855" w:rsidRPr="00B27035" w:rsidRDefault="008C0855" w:rsidP="00B323BB">
            <w:pPr>
              <w:tabs>
                <w:tab w:val="right" w:pos="9360"/>
              </w:tabs>
              <w:ind w:left="-18" w:right="162" w:firstLine="18"/>
              <w:jc w:val="right"/>
              <w:rPr>
                <w:b/>
              </w:rPr>
            </w:pPr>
          </w:p>
          <w:p w14:paraId="478808A3" w14:textId="77777777" w:rsidR="008C0855" w:rsidRPr="00B27035" w:rsidRDefault="008C0855" w:rsidP="00B323BB">
            <w:pPr>
              <w:tabs>
                <w:tab w:val="right" w:pos="9360"/>
              </w:tabs>
              <w:ind w:left="-18" w:right="162" w:firstLine="18"/>
              <w:jc w:val="right"/>
              <w:rPr>
                <w:b/>
              </w:rPr>
            </w:pPr>
            <w:r>
              <w:rPr>
                <w:b/>
              </w:rPr>
              <w:t>DEFENDANTS’ MEMORANDUM SUPPORTING MOTION TO DISMISS</w:t>
            </w:r>
          </w:p>
        </w:tc>
      </w:tr>
    </w:tbl>
    <w:p w14:paraId="0EFF8797" w14:textId="77777777" w:rsidR="008C0855" w:rsidRDefault="008C0855" w:rsidP="008C0855"/>
    <w:p w14:paraId="7C01652C" w14:textId="77777777" w:rsidR="008C0855" w:rsidRDefault="008C0855" w:rsidP="008C0855"/>
    <w:p w14:paraId="5C934776" w14:textId="77777777" w:rsidR="00465363" w:rsidRDefault="00465363" w:rsidP="004404CD">
      <w:pPr>
        <w:jc w:val="center"/>
      </w:pPr>
      <w:r>
        <w:rPr>
          <w:b/>
          <w:u w:val="single"/>
        </w:rPr>
        <w:t>INTRODUCTION</w:t>
      </w:r>
    </w:p>
    <w:p w14:paraId="19296B16" w14:textId="77777777" w:rsidR="00465363" w:rsidRDefault="00465363" w:rsidP="00465363">
      <w:pPr>
        <w:jc w:val="center"/>
      </w:pPr>
    </w:p>
    <w:p w14:paraId="64FDF013" w14:textId="77777777" w:rsidR="00AC490D" w:rsidRDefault="00465363" w:rsidP="00FC3C1C">
      <w:pPr>
        <w:spacing w:line="480" w:lineRule="auto"/>
        <w:ind w:firstLine="720"/>
        <w:jc w:val="both"/>
      </w:pPr>
      <w:r>
        <w:tab/>
      </w:r>
      <w:r w:rsidR="00AC490D">
        <w:t>OGS TV, Inc. commenced this lawsuit pursuant to 17 U.S.C. §§ 101(2) and 201(b), alleging that Defendants Elizabeth</w:t>
      </w:r>
      <w:r w:rsidR="00AC490D" w:rsidRPr="00465363">
        <w:t xml:space="preserve"> Lime and </w:t>
      </w:r>
      <w:proofErr w:type="spellStart"/>
      <w:r w:rsidR="00AC490D" w:rsidRPr="00465363">
        <w:t>TinyTV</w:t>
      </w:r>
      <w:proofErr w:type="spellEnd"/>
      <w:r w:rsidR="00AC490D">
        <w:t>, Inc.</w:t>
      </w:r>
      <w:r w:rsidR="00AC490D" w:rsidRPr="00465363">
        <w:t xml:space="preserve"> </w:t>
      </w:r>
      <w:r w:rsidR="00AC490D">
        <w:t>infringed its copyright.</w:t>
      </w:r>
      <w:r w:rsidR="00FC3C1C">
        <w:t xml:space="preserve">  </w:t>
      </w:r>
      <w:r w:rsidR="00AC490D">
        <w:t xml:space="preserve">A work is not considered “made for hire” unless there is a written work-for-hire agreement signed before the creation of the work under </w:t>
      </w:r>
      <w:r w:rsidR="001375D6">
        <w:t xml:space="preserve">§§ </w:t>
      </w:r>
      <w:r w:rsidR="00AC490D">
        <w:t>101(2) and</w:t>
      </w:r>
      <w:r w:rsidR="00AC490D" w:rsidRPr="00465363">
        <w:t xml:space="preserve"> 201(b).</w:t>
      </w:r>
      <w:r w:rsidR="00FC3C1C">
        <w:t xml:space="preserve">  Ms. Lime did not sign a work-for-hire agreement until after the screenplay “Anticipatory Repudiation” was created.  Therefore, the work was not made for hire.  </w:t>
      </w:r>
      <w:r w:rsidR="00AC490D">
        <w:t xml:space="preserve">The Court should adopt this </w:t>
      </w:r>
      <w:r w:rsidR="00FC3C1C">
        <w:t>interpretation</w:t>
      </w:r>
      <w:r w:rsidR="00AC490D">
        <w:t xml:space="preserve"> for three reasons.  First, the Copyright Act’s fu</w:t>
      </w:r>
      <w:r w:rsidR="00DE4968">
        <w:t>ture tense phrasing of the work-for-</w:t>
      </w:r>
      <w:r w:rsidR="00AC490D">
        <w:t>hire provision, the definition of author, and the structure of the Act support this interpretation of § 101(2).   Second, Congress’</w:t>
      </w:r>
      <w:r w:rsidR="00FD7001">
        <w:t>s</w:t>
      </w:r>
      <w:r w:rsidR="00AC490D">
        <w:t xml:space="preserve"> general goals of predictability, the protection of authors, and narrow construction of the work-for-hire provision </w:t>
      </w:r>
      <w:r w:rsidR="0044279B">
        <w:t>render retroactive written agreements invalid</w:t>
      </w:r>
      <w:r w:rsidR="00AC490D">
        <w:t>.  Moreover, the understanding of the drafter o</w:t>
      </w:r>
      <w:r w:rsidR="0044279B">
        <w:t>f the Copyright Act was that a</w:t>
      </w:r>
      <w:r w:rsidR="00AC490D">
        <w:t xml:space="preserve"> written agreement must predate the work’s creation.  Third, the limited bargaining power of authors should be upheld against encroachment by publishers and producers.  </w:t>
      </w:r>
    </w:p>
    <w:p w14:paraId="7CEFF4DF" w14:textId="77777777" w:rsidR="00A75DA6" w:rsidRPr="00AC490D" w:rsidRDefault="00AC490D" w:rsidP="00AC490D">
      <w:pPr>
        <w:spacing w:line="480" w:lineRule="auto"/>
        <w:ind w:firstLine="720"/>
        <w:jc w:val="both"/>
      </w:pPr>
      <w:r>
        <w:t>If a work is not made for hire then the commissioner of the work is not considered the author and re</w:t>
      </w:r>
      <w:r w:rsidR="00FC3C1C">
        <w:t>tains no copyright protection.</w:t>
      </w:r>
      <w:r>
        <w:t xml:space="preserve">  Defendants did not infringe on </w:t>
      </w:r>
      <w:r w:rsidR="001375D6">
        <w:t>Plaintiff</w:t>
      </w:r>
      <w:r>
        <w:t xml:space="preserve">’s alleged </w:t>
      </w:r>
      <w:r>
        <w:lastRenderedPageBreak/>
        <w:t xml:space="preserve">copyright because </w:t>
      </w:r>
      <w:r w:rsidR="001375D6">
        <w:t>Plaintiff</w:t>
      </w:r>
      <w:r>
        <w:t xml:space="preserve"> did not have copyright protection.  Therefore, the Court should dismiss the complaint pursuant to Fed. R. Civ. P. 12(b)(6).</w:t>
      </w:r>
    </w:p>
    <w:p w14:paraId="1C920567" w14:textId="77777777" w:rsidR="00177CE5" w:rsidRDefault="00465363" w:rsidP="003A7B7C">
      <w:pPr>
        <w:jc w:val="center"/>
        <w:sectPr w:rsidR="00177CE5" w:rsidSect="008B7169">
          <w:footerReference w:type="even" r:id="rId8"/>
          <w:footerReference w:type="default" r:id="rId9"/>
          <w:type w:val="continuous"/>
          <w:pgSz w:w="12240" w:h="15840"/>
          <w:pgMar w:top="1440" w:right="1440" w:bottom="1440" w:left="1440" w:header="720" w:footer="720" w:gutter="0"/>
          <w:cols w:space="720"/>
          <w:docGrid w:linePitch="65"/>
        </w:sectPr>
      </w:pPr>
      <w:r>
        <w:rPr>
          <w:b/>
          <w:u w:val="single"/>
        </w:rPr>
        <w:t>FACTUAL BACKGROUND</w:t>
      </w:r>
    </w:p>
    <w:p w14:paraId="28E5F399" w14:textId="77777777" w:rsidR="00E20999" w:rsidRDefault="00E20999" w:rsidP="00E20999">
      <w:pPr>
        <w:jc w:val="both"/>
      </w:pPr>
    </w:p>
    <w:p w14:paraId="18BEEA62" w14:textId="77777777" w:rsidR="00E15A3A" w:rsidRDefault="00E36C37" w:rsidP="00E20999">
      <w:pPr>
        <w:spacing w:line="480" w:lineRule="auto"/>
        <w:ind w:firstLine="720"/>
        <w:jc w:val="both"/>
      </w:pPr>
      <w:r w:rsidRPr="003713CC">
        <w:t>On</w:t>
      </w:r>
      <w:r>
        <w:t xml:space="preserve"> March 27, 2010, </w:t>
      </w:r>
      <w:r w:rsidR="00144D87">
        <w:t>Ms.</w:t>
      </w:r>
      <w:r>
        <w:t xml:space="preserve"> Lime met with Dave Nelson, an executive producer</w:t>
      </w:r>
      <w:r w:rsidR="00E15A3A">
        <w:t xml:space="preserve"> and agent</w:t>
      </w:r>
      <w:r>
        <w:t xml:space="preserve"> for </w:t>
      </w:r>
      <w:r w:rsidR="001375D6">
        <w:t>Plaintiff</w:t>
      </w:r>
      <w:r>
        <w:t>’s</w:t>
      </w:r>
      <w:r w:rsidR="00FC3C1C">
        <w:t xml:space="preserve"> television show</w:t>
      </w:r>
      <w:r>
        <w:t xml:space="preserve"> </w:t>
      </w:r>
      <w:r>
        <w:rPr>
          <w:i/>
        </w:rPr>
        <w:t>Lawless Love</w:t>
      </w:r>
      <w:r>
        <w:t xml:space="preserve">, to discuss her production of a screenplay for </w:t>
      </w:r>
      <w:r>
        <w:rPr>
          <w:i/>
        </w:rPr>
        <w:t>Lawless Love</w:t>
      </w:r>
      <w:r w:rsidR="003A7B7C">
        <w:t xml:space="preserve">.  </w:t>
      </w:r>
      <w:proofErr w:type="spellStart"/>
      <w:r w:rsidR="003A7B7C">
        <w:t>Compl</w:t>
      </w:r>
      <w:proofErr w:type="spellEnd"/>
      <w:r w:rsidR="003A7B7C">
        <w:t xml:space="preserve">. </w:t>
      </w:r>
      <w:proofErr w:type="gramStart"/>
      <w:r w:rsidR="003A7B7C">
        <w:t>¶</w:t>
      </w:r>
      <w:r w:rsidR="00144D87">
        <w:t>¶</w:t>
      </w:r>
      <w:r w:rsidR="003A7B7C">
        <w:t xml:space="preserve"> 9, 12.</w:t>
      </w:r>
      <w:proofErr w:type="gramEnd"/>
      <w:r w:rsidR="003A7B7C">
        <w:t xml:space="preserve">  Before this meeting</w:t>
      </w:r>
      <w:r w:rsidR="00144D87">
        <w:t xml:space="preserve">, </w:t>
      </w:r>
      <w:r w:rsidR="001375D6">
        <w:t>Plaintiff</w:t>
      </w:r>
      <w:r w:rsidR="005A2695">
        <w:t xml:space="preserve"> had never outsourced the script writing of its </w:t>
      </w:r>
      <w:r w:rsidR="005A2695">
        <w:rPr>
          <w:i/>
        </w:rPr>
        <w:t>Lawless Love</w:t>
      </w:r>
      <w:r w:rsidR="005A2695">
        <w:t>.</w:t>
      </w:r>
      <w:r w:rsidR="003A7B7C">
        <w:t xml:space="preserve">  </w:t>
      </w:r>
      <w:proofErr w:type="gramStart"/>
      <w:r w:rsidR="003A7B7C">
        <w:rPr>
          <w:i/>
        </w:rPr>
        <w:t>Id.</w:t>
      </w:r>
      <w:r w:rsidR="005A2695">
        <w:t xml:space="preserve"> ¶ 9.</w:t>
      </w:r>
      <w:proofErr w:type="gramEnd"/>
      <w:r w:rsidR="005A2695">
        <w:t xml:space="preserve">  Similarly, Ms. Lime had never written anything for Plaintiff </w:t>
      </w:r>
      <w:r w:rsidR="003A7B7C">
        <w:t>before</w:t>
      </w:r>
      <w:r w:rsidR="005A2695">
        <w:t xml:space="preserve"> March 27, 2010.  </w:t>
      </w:r>
      <w:proofErr w:type="gramStart"/>
      <w:r w:rsidR="003A7B7C">
        <w:rPr>
          <w:i/>
        </w:rPr>
        <w:t>Id.</w:t>
      </w:r>
      <w:r w:rsidR="005A2695">
        <w:t xml:space="preserve"> ¶ 11.</w:t>
      </w:r>
      <w:proofErr w:type="gramEnd"/>
      <w:r w:rsidR="005A2695">
        <w:t xml:space="preserve">  During the meeting, Ms. Lime and Mr. Nelson</w:t>
      </w:r>
      <w:r w:rsidR="00E15A3A">
        <w:t xml:space="preserve"> agreed that Ms. Lime would prepare a screenplay for </w:t>
      </w:r>
      <w:r w:rsidR="00E15A3A">
        <w:rPr>
          <w:i/>
        </w:rPr>
        <w:t>Lawless Love</w:t>
      </w:r>
      <w:r w:rsidR="003D5A7B">
        <w:t xml:space="preserve"> by April 1, 2010</w:t>
      </w:r>
      <w:r w:rsidR="00E15A3A">
        <w:t xml:space="preserve">.  </w:t>
      </w:r>
      <w:proofErr w:type="gramStart"/>
      <w:r w:rsidR="003A7B7C">
        <w:rPr>
          <w:i/>
        </w:rPr>
        <w:t>Id.</w:t>
      </w:r>
      <w:r w:rsidR="00E15A3A">
        <w:t xml:space="preserve"> ¶ 13.</w:t>
      </w:r>
      <w:proofErr w:type="gramEnd"/>
      <w:r w:rsidR="005A2695">
        <w:t xml:space="preserve"> </w:t>
      </w:r>
      <w:r w:rsidR="00E15A3A">
        <w:t xml:space="preserve"> Also during the meeting, Ms. Lime and Mr. Nelson </w:t>
      </w:r>
      <w:r w:rsidR="005A2695">
        <w:t>orally a</w:t>
      </w:r>
      <w:r w:rsidR="00E15A3A">
        <w:t xml:space="preserve">greed that the </w:t>
      </w:r>
      <w:r w:rsidR="005A2695">
        <w:t>work on the screenplay was for hire</w:t>
      </w:r>
      <w:r w:rsidR="003A7B7C">
        <w:t xml:space="preserve"> </w:t>
      </w:r>
      <w:r w:rsidR="00E15A3A">
        <w:t>and</w:t>
      </w:r>
      <w:r w:rsidR="003A7B7C">
        <w:t xml:space="preserve"> that Ms. Lime would receive $6</w:t>
      </w:r>
      <w:r w:rsidR="00E15A3A">
        <w:t>000</w:t>
      </w:r>
      <w:r w:rsidR="00A75DA6">
        <w:t xml:space="preserve"> in compensation for her services</w:t>
      </w:r>
      <w:r w:rsidR="00E15A3A">
        <w:t xml:space="preserve">, </w:t>
      </w:r>
      <w:r w:rsidR="003A7B7C">
        <w:rPr>
          <w:i/>
        </w:rPr>
        <w:t>Id.</w:t>
      </w:r>
      <w:r w:rsidR="00E15A3A">
        <w:t xml:space="preserve"> ¶</w:t>
      </w:r>
      <w:r w:rsidR="00144D87">
        <w:t>¶</w:t>
      </w:r>
      <w:r w:rsidR="00E15A3A">
        <w:t xml:space="preserve"> 13</w:t>
      </w:r>
      <w:r w:rsidR="003A7B7C">
        <w:t>, 16, 17</w:t>
      </w:r>
      <w:r w:rsidR="00E15A3A">
        <w:t xml:space="preserve">.  At the meeting, Mr. Nelson indicated he wanted Ms. Lime’s unique take on the premise and characters </w:t>
      </w:r>
      <w:r w:rsidR="003D5A7B">
        <w:t xml:space="preserve">of her screenplay.  </w:t>
      </w:r>
      <w:proofErr w:type="gramStart"/>
      <w:r w:rsidR="003A7B7C">
        <w:rPr>
          <w:i/>
        </w:rPr>
        <w:t>Id.</w:t>
      </w:r>
      <w:r w:rsidR="003D5A7B">
        <w:t xml:space="preserve"> ¶ 14.</w:t>
      </w:r>
      <w:proofErr w:type="gramEnd"/>
      <w:r w:rsidR="003D5A7B">
        <w:t xml:space="preserve">  </w:t>
      </w:r>
    </w:p>
    <w:p w14:paraId="6F32751C" w14:textId="77777777" w:rsidR="005A2695" w:rsidRDefault="003A7B7C" w:rsidP="005A2695">
      <w:pPr>
        <w:spacing w:line="480" w:lineRule="auto"/>
        <w:ind w:firstLine="720"/>
        <w:jc w:val="both"/>
      </w:pPr>
      <w:r>
        <w:t>On April 1, 2010</w:t>
      </w:r>
      <w:r w:rsidR="00E15A3A">
        <w:t xml:space="preserve">, Ms. Lime submitted a screenplay entitled, “Anticipatory Repudiation,” to the Plaintiff.  </w:t>
      </w:r>
      <w:proofErr w:type="gramStart"/>
      <w:r>
        <w:rPr>
          <w:i/>
        </w:rPr>
        <w:t>Id.</w:t>
      </w:r>
      <w:r w:rsidR="00E15A3A">
        <w:t xml:space="preserve"> ¶</w:t>
      </w:r>
      <w:r w:rsidR="003D5A7B">
        <w:t xml:space="preserve"> 21.</w:t>
      </w:r>
      <w:proofErr w:type="gramEnd"/>
      <w:r w:rsidR="003D5A7B">
        <w:t xml:space="preserve">  </w:t>
      </w:r>
      <w:r w:rsidR="00AB13CD">
        <w:t>T</w:t>
      </w:r>
      <w:r w:rsidR="003D5A7B">
        <w:t>en days after the initial meeting between Ms. Lime and Mr. Nelson and five days after Ms. Lime’s completion of the screenplay,</w:t>
      </w:r>
      <w:r w:rsidR="00AB13CD">
        <w:t xml:space="preserve"> on April 6,</w:t>
      </w:r>
      <w:r w:rsidR="003D5A7B">
        <w:t xml:space="preserve"> Ms. Lime and Mr. Nelson signed a document entitled “Work-Made-For-Hire Agreement.”  </w:t>
      </w:r>
      <w:proofErr w:type="gramStart"/>
      <w:r>
        <w:rPr>
          <w:i/>
        </w:rPr>
        <w:t>Id.</w:t>
      </w:r>
      <w:r w:rsidR="003D5A7B">
        <w:t xml:space="preserve"> ¶ 24.</w:t>
      </w:r>
      <w:proofErr w:type="gramEnd"/>
      <w:r w:rsidR="003D5A7B">
        <w:t xml:space="preserve">  </w:t>
      </w:r>
    </w:p>
    <w:p w14:paraId="7DC3A642" w14:textId="77777777" w:rsidR="00AA35A3" w:rsidRDefault="00AB13CD" w:rsidP="005A2695">
      <w:pPr>
        <w:spacing w:line="480" w:lineRule="auto"/>
        <w:ind w:firstLine="720"/>
        <w:jc w:val="both"/>
      </w:pPr>
      <w:r>
        <w:t>Plaintiff</w:t>
      </w:r>
      <w:r w:rsidR="003D5A7B">
        <w:t xml:space="preserve"> never aired “Anticipatory Repudiation” as an episode of </w:t>
      </w:r>
      <w:r w:rsidR="003D5A7B">
        <w:rPr>
          <w:i/>
        </w:rPr>
        <w:t>Lawless Love</w:t>
      </w:r>
      <w:r w:rsidR="003D5A7B">
        <w:t xml:space="preserve">.  </w:t>
      </w:r>
      <w:proofErr w:type="gramStart"/>
      <w:r w:rsidR="003A7B7C">
        <w:rPr>
          <w:i/>
        </w:rPr>
        <w:t>Id.</w:t>
      </w:r>
      <w:r w:rsidR="003D5A7B">
        <w:t xml:space="preserve"> ¶</w:t>
      </w:r>
      <w:r w:rsidR="001375D6">
        <w:t xml:space="preserve"> 26.</w:t>
      </w:r>
      <w:proofErr w:type="gramEnd"/>
      <w:r w:rsidR="001375D6">
        <w:t xml:space="preserve">  </w:t>
      </w:r>
      <w:r w:rsidR="00AA35A3">
        <w:t xml:space="preserve">In August 2010, Ms. Lime and </w:t>
      </w:r>
      <w:proofErr w:type="spellStart"/>
      <w:r w:rsidR="00AA35A3">
        <w:t>TinyTV</w:t>
      </w:r>
      <w:proofErr w:type="spellEnd"/>
      <w:r w:rsidR="00AA35A3">
        <w:t xml:space="preserve"> worked together to produce a screenplay episode for the television series </w:t>
      </w:r>
      <w:r w:rsidR="00AA35A3">
        <w:rPr>
          <w:i/>
        </w:rPr>
        <w:t>The Tin Can</w:t>
      </w:r>
      <w:r w:rsidR="00AA35A3">
        <w:t xml:space="preserve"> entitled “The Love Below.”  </w:t>
      </w:r>
      <w:proofErr w:type="gramStart"/>
      <w:r w:rsidR="003A7B7C">
        <w:rPr>
          <w:i/>
        </w:rPr>
        <w:t>Id.</w:t>
      </w:r>
      <w:r w:rsidR="00AA35A3">
        <w:t xml:space="preserve"> ¶ 28.</w:t>
      </w:r>
      <w:proofErr w:type="gramEnd"/>
      <w:r w:rsidR="00AA35A3">
        <w:t xml:space="preserve">  “The Love Below” contained the same characters, storylines, and dialogue as “Anticipatory Repudiation.”  </w:t>
      </w:r>
      <w:proofErr w:type="gramStart"/>
      <w:r w:rsidR="003A7B7C">
        <w:rPr>
          <w:i/>
        </w:rPr>
        <w:t>Id.</w:t>
      </w:r>
      <w:r w:rsidR="00AA35A3">
        <w:t xml:space="preserve"> ¶ 31.</w:t>
      </w:r>
      <w:proofErr w:type="gramEnd"/>
      <w:r w:rsidR="00AA35A3">
        <w:t xml:space="preserve">  However, “The Love Below” had a different premise, setting, names of characters, and occupations of characters than “Anticipatory Repudiation.”  </w:t>
      </w:r>
      <w:proofErr w:type="gramStart"/>
      <w:r w:rsidR="003A7B7C">
        <w:rPr>
          <w:i/>
        </w:rPr>
        <w:t>Id.</w:t>
      </w:r>
      <w:r w:rsidR="00AA35A3">
        <w:t xml:space="preserve"> ¶ 31.</w:t>
      </w:r>
      <w:proofErr w:type="gramEnd"/>
      <w:r w:rsidR="00AA35A3">
        <w:t xml:space="preserve">  </w:t>
      </w:r>
    </w:p>
    <w:p w14:paraId="55CE322E" w14:textId="77777777" w:rsidR="004561E3" w:rsidRPr="00E20999" w:rsidRDefault="00AB13CD" w:rsidP="00E20999">
      <w:pPr>
        <w:spacing w:line="480" w:lineRule="auto"/>
        <w:ind w:firstLine="720"/>
        <w:jc w:val="both"/>
      </w:pPr>
      <w:r>
        <w:lastRenderedPageBreak/>
        <w:t>Plaintiff</w:t>
      </w:r>
      <w:r w:rsidR="00AA35A3">
        <w:t xml:space="preserve"> </w:t>
      </w:r>
      <w:r>
        <w:t>sued the defendants alleging violations of the Copyright Act.</w:t>
      </w:r>
      <w:r w:rsidR="008F1AD1">
        <w:t xml:space="preserve">  </w:t>
      </w:r>
      <w:proofErr w:type="gramStart"/>
      <w:r w:rsidR="003A7B7C">
        <w:rPr>
          <w:i/>
        </w:rPr>
        <w:t>Id.</w:t>
      </w:r>
      <w:r w:rsidR="008F1AD1">
        <w:t xml:space="preserve"> ¶ 34</w:t>
      </w:r>
      <w:r>
        <w:t>.</w:t>
      </w:r>
      <w:proofErr w:type="gramEnd"/>
      <w:r>
        <w:t xml:space="preserve">  </w:t>
      </w:r>
      <w:r w:rsidR="001375D6">
        <w:t>Defendants</w:t>
      </w:r>
      <w:r w:rsidR="008F1AD1">
        <w:t xml:space="preserve"> have </w:t>
      </w:r>
      <w:r>
        <w:t xml:space="preserve">requested the Court dismiss the claim.  </w:t>
      </w:r>
      <w:proofErr w:type="spellStart"/>
      <w:r w:rsidR="00FC3C1C">
        <w:t>Defs</w:t>
      </w:r>
      <w:proofErr w:type="spellEnd"/>
      <w:r w:rsidR="00FC3C1C">
        <w:t>.</w:t>
      </w:r>
      <w:r w:rsidR="00F16439">
        <w:t xml:space="preserve"> Mot. Dismiss</w:t>
      </w:r>
      <w:r w:rsidR="008F1AD1">
        <w:t>.  The Court requested briefs on whether 17 U.S.C. § 101(2) requires the signed writing to precede the creation of the work in order for the work to be co</w:t>
      </w:r>
      <w:r>
        <w:t>nsidered “made for hire</w:t>
      </w:r>
      <w:r w:rsidR="008F1AD1">
        <w:t>”</w:t>
      </w:r>
      <w:r w:rsidR="001375D6">
        <w:t xml:space="preserve"> pursuant to Defendant</w:t>
      </w:r>
      <w:r>
        <w:t>s</w:t>
      </w:r>
      <w:r w:rsidR="001375D6">
        <w:t>’</w:t>
      </w:r>
      <w:r>
        <w:t xml:space="preserve"> Motion to Dismiss.</w:t>
      </w:r>
      <w:r w:rsidR="008F1AD1">
        <w:t xml:space="preserve">  Ct. Order 1.  </w:t>
      </w:r>
    </w:p>
    <w:p w14:paraId="6267E075" w14:textId="77777777" w:rsidR="00A75DA6" w:rsidRDefault="003112E7" w:rsidP="00D95A6E">
      <w:pPr>
        <w:spacing w:line="480" w:lineRule="auto"/>
        <w:jc w:val="center"/>
        <w:rPr>
          <w:b/>
          <w:u w:val="single"/>
        </w:rPr>
      </w:pPr>
      <w:r>
        <w:rPr>
          <w:b/>
          <w:u w:val="single"/>
        </w:rPr>
        <w:t>ARGUMENT</w:t>
      </w:r>
    </w:p>
    <w:p w14:paraId="461AC8DD" w14:textId="77777777" w:rsidR="009D6FD7" w:rsidRDefault="007357DE" w:rsidP="003C5271">
      <w:pPr>
        <w:spacing w:line="480" w:lineRule="auto"/>
        <w:ind w:firstLine="720"/>
        <w:jc w:val="both"/>
      </w:pPr>
      <w:r>
        <w:t>Whether a court grants a</w:t>
      </w:r>
      <w:r w:rsidR="008A7325">
        <w:t xml:space="preserve"> motion to d</w:t>
      </w:r>
      <w:r>
        <w:t xml:space="preserve">ismiss is a </w:t>
      </w:r>
      <w:r w:rsidR="008A7325">
        <w:t>question</w:t>
      </w:r>
      <w:r>
        <w:t xml:space="preserve"> of law.  </w:t>
      </w:r>
      <w:r w:rsidR="00FC3C1C">
        <w:rPr>
          <w:i/>
        </w:rPr>
        <w:t>N.</w:t>
      </w:r>
      <w:r w:rsidRPr="007357DE">
        <w:rPr>
          <w:i/>
        </w:rPr>
        <w:t xml:space="preserve"> Star Intern.</w:t>
      </w:r>
      <w:r w:rsidR="00CC3336">
        <w:rPr>
          <w:i/>
        </w:rPr>
        <w:t xml:space="preserve"> v</w:t>
      </w:r>
      <w:r w:rsidRPr="007357DE">
        <w:rPr>
          <w:i/>
        </w:rPr>
        <w:t>.</w:t>
      </w:r>
      <w:r>
        <w:rPr>
          <w:i/>
        </w:rPr>
        <w:t xml:space="preserve"> Ariz.</w:t>
      </w:r>
      <w:r w:rsidRPr="007357DE">
        <w:rPr>
          <w:i/>
        </w:rPr>
        <w:t xml:space="preserve"> Corp. </w:t>
      </w:r>
      <w:proofErr w:type="spellStart"/>
      <w:r w:rsidRPr="007357DE">
        <w:rPr>
          <w:i/>
        </w:rPr>
        <w:t>Com</w:t>
      </w:r>
      <w:r w:rsidR="00FC3C1C">
        <w:rPr>
          <w:i/>
        </w:rPr>
        <w:t>m</w:t>
      </w:r>
      <w:r w:rsidRPr="007357DE">
        <w:rPr>
          <w:i/>
        </w:rPr>
        <w:t>’n</w:t>
      </w:r>
      <w:proofErr w:type="spellEnd"/>
      <w:r>
        <w:t>, 720 F.2d 578, 580 (</w:t>
      </w:r>
      <w:r w:rsidR="008A7325">
        <w:t>8</w:t>
      </w:r>
      <w:r w:rsidR="008A7325" w:rsidRPr="008A7325">
        <w:t>th</w:t>
      </w:r>
      <w:r w:rsidR="008A7325">
        <w:t xml:space="preserve"> Cir. </w:t>
      </w:r>
      <w:r>
        <w:t xml:space="preserve">1983).  </w:t>
      </w:r>
      <w:r w:rsidR="00FC3C1C">
        <w:t>A</w:t>
      </w:r>
      <w:r w:rsidR="008A7325">
        <w:t xml:space="preserve"> court </w:t>
      </w:r>
      <w:r w:rsidR="00FC3C1C">
        <w:t xml:space="preserve">should grant a motion to dismiss when </w:t>
      </w:r>
      <w:r w:rsidR="008A7325">
        <w:t xml:space="preserve">a plaintiff’s legal claims could not be supported by the material facts alleged.  </w:t>
      </w:r>
      <w:proofErr w:type="gramStart"/>
      <w:r w:rsidR="0059520D">
        <w:rPr>
          <w:i/>
        </w:rPr>
        <w:t>Dutton v. Cities Serv. Def.</w:t>
      </w:r>
      <w:r w:rsidR="008A7325" w:rsidRPr="008A7325">
        <w:rPr>
          <w:i/>
        </w:rPr>
        <w:t xml:space="preserve"> Corp.</w:t>
      </w:r>
      <w:r w:rsidR="008A7325">
        <w:t>, 197 F.2d 458, 459 (8</w:t>
      </w:r>
      <w:r w:rsidR="008A7325" w:rsidRPr="008A7325">
        <w:t>th</w:t>
      </w:r>
      <w:r w:rsidR="008A7325">
        <w:t xml:space="preserve"> Cir. 1952).</w:t>
      </w:r>
      <w:proofErr w:type="gramEnd"/>
      <w:r w:rsidR="008A7325">
        <w:t xml:space="preserve">  A</w:t>
      </w:r>
      <w:r>
        <w:t>ll</w:t>
      </w:r>
      <w:r w:rsidR="00A40E7E">
        <w:t xml:space="preserve"> </w:t>
      </w:r>
      <w:r>
        <w:t xml:space="preserve">material </w:t>
      </w:r>
      <w:r w:rsidR="00A40E7E">
        <w:t>facts</w:t>
      </w:r>
      <w:r w:rsidR="00FC3C1C">
        <w:t xml:space="preserve"> asserted in the p</w:t>
      </w:r>
      <w:r w:rsidR="00A40E7E">
        <w:t xml:space="preserve">laintiff’s complaint are to be taken as true.  </w:t>
      </w:r>
      <w:proofErr w:type="gramStart"/>
      <w:r w:rsidR="0044279B">
        <w:rPr>
          <w:i/>
        </w:rPr>
        <w:t xml:space="preserve">Ashcroft v. </w:t>
      </w:r>
      <w:proofErr w:type="spellStart"/>
      <w:r w:rsidR="003C5271">
        <w:rPr>
          <w:i/>
        </w:rPr>
        <w:t>Iqbal</w:t>
      </w:r>
      <w:proofErr w:type="spellEnd"/>
      <w:r w:rsidR="00A40E7E" w:rsidRPr="00A40E7E">
        <w:t xml:space="preserve">, 556 U.S. 662, 129 S. Ct. </w:t>
      </w:r>
      <w:r w:rsidR="00A40E7E">
        <w:t>1949</w:t>
      </w:r>
      <w:r w:rsidR="0044279B">
        <w:t xml:space="preserve"> (2009)</w:t>
      </w:r>
      <w:r w:rsidR="00A40E7E">
        <w:t>.</w:t>
      </w:r>
      <w:proofErr w:type="gramEnd"/>
      <w:r w:rsidR="00A40E7E">
        <w:t xml:space="preserve">  </w:t>
      </w:r>
      <w:r>
        <w:t>However, Plaintiff’s legal conclusions are not entitled to the same presumption of truth.</w:t>
      </w:r>
      <w:r w:rsidR="003C5271">
        <w:t xml:space="preserve">  </w:t>
      </w:r>
      <w:r w:rsidR="0044279B">
        <w:rPr>
          <w:i/>
        </w:rPr>
        <w:t xml:space="preserve">Bell Atl. Corp. v. </w:t>
      </w:r>
      <w:proofErr w:type="spellStart"/>
      <w:r w:rsidRPr="003C5271">
        <w:rPr>
          <w:i/>
        </w:rPr>
        <w:t>Twombly</w:t>
      </w:r>
      <w:proofErr w:type="spellEnd"/>
      <w:r>
        <w:t>, 550 U.S.</w:t>
      </w:r>
      <w:r w:rsidR="00153DC6">
        <w:t xml:space="preserve"> 544,</w:t>
      </w:r>
      <w:r>
        <w:t xml:space="preserve"> 555</w:t>
      </w:r>
      <w:r w:rsidR="0044279B">
        <w:t xml:space="preserve"> (2007)</w:t>
      </w:r>
      <w:r w:rsidR="003C5271">
        <w:t xml:space="preserve">.  </w:t>
      </w:r>
      <w:r w:rsidR="00FC3C1C">
        <w:t xml:space="preserve">Whether a </w:t>
      </w:r>
      <w:r w:rsidR="0059520D">
        <w:t xml:space="preserve">work-for-hire agreement must precede the creation of the work </w:t>
      </w:r>
      <w:r w:rsidR="00A40E7E">
        <w:t xml:space="preserve">is an issue of first impression for the District Court of Moot.  </w:t>
      </w:r>
    </w:p>
    <w:p w14:paraId="0C989065" w14:textId="77777777" w:rsidR="00605F0C" w:rsidRDefault="009D6FD7" w:rsidP="00003AE8">
      <w:pPr>
        <w:spacing w:line="480" w:lineRule="auto"/>
        <w:ind w:firstLine="720"/>
        <w:jc w:val="both"/>
      </w:pPr>
      <w:r>
        <w:t xml:space="preserve">Plaintiff alleges that Defendants violated the </w:t>
      </w:r>
      <w:r w:rsidR="00DE4968">
        <w:t>work-for-hire</w:t>
      </w:r>
      <w:r>
        <w:t xml:space="preserve"> provision of the Copyright Act when Tiny TV aired “The Love Below.”  Plaintiff’s argument fails as a matter of law beca</w:t>
      </w:r>
      <w:r w:rsidR="00DE4968">
        <w:t>use the written work-for-</w:t>
      </w:r>
      <w:r>
        <w:t>hire agreement followed the creation of Ms. Lime’s “Anticipatory Repudiation.”  The statutory language and structure, legislative intent, and public poli</w:t>
      </w:r>
      <w:r w:rsidR="00DE4968">
        <w:t>cy all require the written work-for-</w:t>
      </w:r>
      <w:r>
        <w:t>hire agreement to precede the creation of the work.</w:t>
      </w:r>
      <w:r w:rsidR="0059520D">
        <w:t xml:space="preserve">  Accordingly, the court should grant the Defendant’s motion to dismiss.</w:t>
      </w:r>
    </w:p>
    <w:p w14:paraId="53E81874" w14:textId="77777777" w:rsidR="00003AE8" w:rsidRDefault="00003AE8" w:rsidP="00003AE8">
      <w:pPr>
        <w:spacing w:line="480" w:lineRule="auto"/>
        <w:ind w:firstLine="720"/>
        <w:jc w:val="both"/>
      </w:pPr>
    </w:p>
    <w:p w14:paraId="09FF08F7" w14:textId="77777777" w:rsidR="00003AE8" w:rsidRDefault="00003AE8" w:rsidP="00003AE8">
      <w:pPr>
        <w:spacing w:line="480" w:lineRule="auto"/>
        <w:ind w:firstLine="720"/>
        <w:jc w:val="both"/>
      </w:pPr>
    </w:p>
    <w:p w14:paraId="180791A6" w14:textId="77777777" w:rsidR="00003AE8" w:rsidRDefault="00003AE8" w:rsidP="00003AE8">
      <w:pPr>
        <w:spacing w:line="480" w:lineRule="auto"/>
        <w:ind w:firstLine="720"/>
        <w:jc w:val="both"/>
      </w:pPr>
    </w:p>
    <w:p w14:paraId="756B3D55" w14:textId="77777777" w:rsidR="003A20BC" w:rsidRDefault="003A20BC" w:rsidP="00605F0C">
      <w:pPr>
        <w:pStyle w:val="Heading1"/>
        <w:ind w:left="720" w:hanging="720"/>
      </w:pPr>
      <w:r>
        <w:lastRenderedPageBreak/>
        <w:t xml:space="preserve">The </w:t>
      </w:r>
      <w:r w:rsidR="002D4DA8">
        <w:t>Plain Meaning</w:t>
      </w:r>
      <w:r w:rsidR="00EE527D">
        <w:t xml:space="preserve"> of </w:t>
      </w:r>
      <w:r w:rsidR="00153DC6">
        <w:t>the Copyright Act</w:t>
      </w:r>
      <w:r w:rsidR="00605F0C">
        <w:t xml:space="preserve"> </w:t>
      </w:r>
      <w:r w:rsidR="0059520D">
        <w:t>Requires a Written Agreement to Precede the Creation of a Work Made For Hire.</w:t>
      </w:r>
    </w:p>
    <w:p w14:paraId="2E1CD047" w14:textId="77777777" w:rsidR="00033913" w:rsidRPr="00A85887" w:rsidRDefault="00605F0C" w:rsidP="00A85887">
      <w:pPr>
        <w:spacing w:line="480" w:lineRule="auto"/>
        <w:ind w:firstLine="720"/>
        <w:jc w:val="both"/>
      </w:pPr>
      <w:r>
        <w:t>Courts first look to the plain meaning of a statute before</w:t>
      </w:r>
      <w:r w:rsidR="0059520D">
        <w:t xml:space="preserve"> considering</w:t>
      </w:r>
      <w:r>
        <w:t xml:space="preserve"> any other method or source of </w:t>
      </w:r>
      <w:r w:rsidR="0059520D">
        <w:t>information</w:t>
      </w:r>
      <w:r>
        <w:t xml:space="preserve">.  </w:t>
      </w:r>
      <w:proofErr w:type="gramStart"/>
      <w:r>
        <w:rPr>
          <w:i/>
        </w:rPr>
        <w:t>Greenwood v. United States</w:t>
      </w:r>
      <w:r>
        <w:t>, 350 U.S. 366, 374 (1956).</w:t>
      </w:r>
      <w:proofErr w:type="gramEnd"/>
      <w:r w:rsidR="008F13EB">
        <w:t xml:space="preserve">  The language of a particular provision should be read in the context of the entire statutory structure.  </w:t>
      </w:r>
      <w:r w:rsidR="0059520D">
        <w:rPr>
          <w:i/>
        </w:rPr>
        <w:t>Gen. Dynamics Land Sys</w:t>
      </w:r>
      <w:proofErr w:type="gramStart"/>
      <w:r w:rsidR="0059520D">
        <w:rPr>
          <w:i/>
        </w:rPr>
        <w:t>.</w:t>
      </w:r>
      <w:r w:rsidR="008F13EB">
        <w:rPr>
          <w:i/>
        </w:rPr>
        <w:t>,</w:t>
      </w:r>
      <w:proofErr w:type="gramEnd"/>
      <w:r w:rsidR="008F13EB">
        <w:rPr>
          <w:i/>
        </w:rPr>
        <w:t xml:space="preserve"> Inc. v. Cline</w:t>
      </w:r>
      <w:r w:rsidR="00A85887">
        <w:t xml:space="preserve">, 540 U.S. 581, 598 (2004).  </w:t>
      </w:r>
      <w:r w:rsidR="00153DC6">
        <w:t xml:space="preserve">The </w:t>
      </w:r>
      <w:r w:rsidR="00960427">
        <w:t xml:space="preserve">temporal </w:t>
      </w:r>
      <w:r w:rsidR="00153DC6">
        <w:t>language</w:t>
      </w:r>
      <w:r w:rsidR="00960427">
        <w:t xml:space="preserve"> and the common understanding of the word </w:t>
      </w:r>
      <w:r w:rsidR="00153DC6">
        <w:t>“</w:t>
      </w:r>
      <w:r w:rsidR="00960427">
        <w:t>author</w:t>
      </w:r>
      <w:r w:rsidR="00153DC6">
        <w:t>”</w:t>
      </w:r>
      <w:r w:rsidR="00960427">
        <w:t xml:space="preserve"> compel the understanding that a written agreement must precede the creation of the work.  </w:t>
      </w:r>
      <w:r w:rsidR="00B32A19">
        <w:t>The statutory scheme leads to t</w:t>
      </w:r>
      <w:r w:rsidR="00153DC6">
        <w:t xml:space="preserve">he same conclusion due to </w:t>
      </w:r>
      <w:r w:rsidR="00B32A19">
        <w:t>the principle that only ownership, not authorship, can be t</w:t>
      </w:r>
      <w:r w:rsidR="00153DC6">
        <w:t xml:space="preserve">ransferred following creation and the preference against statutory redundancy.  The oral agreement between Ms. Lime and Mr. Nelson was of no legal significance according to the plain language and structure of the Act. </w:t>
      </w:r>
    </w:p>
    <w:p w14:paraId="226F0AF0" w14:textId="77777777" w:rsidR="002D7C99" w:rsidRDefault="003A20BC" w:rsidP="00605F0C">
      <w:pPr>
        <w:pStyle w:val="Heading2"/>
        <w:ind w:left="1440" w:hanging="720"/>
      </w:pPr>
      <w:r>
        <w:t xml:space="preserve">The </w:t>
      </w:r>
      <w:r w:rsidR="008F13EB">
        <w:t xml:space="preserve">Text of the </w:t>
      </w:r>
      <w:r w:rsidR="00B32A19">
        <w:t>Work-Made-for-Hire Provisions Requires Written Agreement to</w:t>
      </w:r>
      <w:r>
        <w:t xml:space="preserve"> </w:t>
      </w:r>
      <w:r w:rsidR="00B32A19">
        <w:t>Precede</w:t>
      </w:r>
      <w:r>
        <w:t xml:space="preserve"> the Creation of the Work</w:t>
      </w:r>
      <w:r w:rsidR="0059520D">
        <w:t>.</w:t>
      </w:r>
    </w:p>
    <w:p w14:paraId="1903562F" w14:textId="77777777" w:rsidR="003A20BC" w:rsidRDefault="003A20BC" w:rsidP="002D7C99"/>
    <w:p w14:paraId="300DF702" w14:textId="77777777" w:rsidR="00EE527D" w:rsidRDefault="005A6618" w:rsidP="00605F0C">
      <w:pPr>
        <w:spacing w:line="480" w:lineRule="auto"/>
        <w:ind w:firstLine="720"/>
        <w:jc w:val="both"/>
      </w:pPr>
      <w:r>
        <w:t>In considering the language of any statute</w:t>
      </w:r>
      <w:r w:rsidR="004561E3">
        <w:t>,</w:t>
      </w:r>
      <w:r>
        <w:t xml:space="preserve"> no word or clause is “superfluous, void, or insignificant.”  </w:t>
      </w:r>
      <w:r>
        <w:rPr>
          <w:i/>
        </w:rPr>
        <w:t>TRW Inc. v. Andrews</w:t>
      </w:r>
      <w:r>
        <w:t xml:space="preserve">, 534 U.S. 19, 31 (2001) (citations omitted).  </w:t>
      </w:r>
      <w:r w:rsidR="00AC490D">
        <w:t xml:space="preserve">This applies </w:t>
      </w:r>
      <w:r w:rsidR="0059156F">
        <w:t xml:space="preserve">with heightened force </w:t>
      </w:r>
      <w:r w:rsidR="00153DC6">
        <w:t>to</w:t>
      </w:r>
      <w:r w:rsidR="0059156F">
        <w:t xml:space="preserve"> the</w:t>
      </w:r>
      <w:r w:rsidR="00AC490D">
        <w:t xml:space="preserve"> Copyright Act</w:t>
      </w:r>
      <w:r>
        <w:t xml:space="preserve"> </w:t>
      </w:r>
      <w:r w:rsidR="00153DC6">
        <w:t xml:space="preserve">because it </w:t>
      </w:r>
      <w:r>
        <w:t xml:space="preserve">resulted from “carefully crafted compromises.”  </w:t>
      </w:r>
      <w:proofErr w:type="spellStart"/>
      <w:r w:rsidRPr="002C0371">
        <w:rPr>
          <w:i/>
        </w:rPr>
        <w:t>Cmty</w:t>
      </w:r>
      <w:proofErr w:type="spellEnd"/>
      <w:r w:rsidRPr="002C0371">
        <w:rPr>
          <w:i/>
        </w:rPr>
        <w:t xml:space="preserve">. </w:t>
      </w:r>
      <w:proofErr w:type="gramStart"/>
      <w:r w:rsidRPr="002C0371">
        <w:rPr>
          <w:i/>
        </w:rPr>
        <w:t>for</w:t>
      </w:r>
      <w:proofErr w:type="gramEnd"/>
      <w:r w:rsidRPr="002C0371">
        <w:rPr>
          <w:i/>
        </w:rPr>
        <w:t xml:space="preserve"> Creative Non-Violence v. Reid</w:t>
      </w:r>
      <w:r w:rsidR="00A9438F">
        <w:t xml:space="preserve">, 490 U.S. 730, 748 </w:t>
      </w:r>
      <w:r>
        <w:t xml:space="preserve">n.14 (1989).  </w:t>
      </w:r>
    </w:p>
    <w:p w14:paraId="22C9C877" w14:textId="77777777" w:rsidR="00A9438F" w:rsidRDefault="00DE4968" w:rsidP="00EE527D">
      <w:pPr>
        <w:spacing w:line="480" w:lineRule="auto"/>
        <w:ind w:firstLine="720"/>
        <w:jc w:val="both"/>
      </w:pPr>
      <w:r>
        <w:t xml:space="preserve">A </w:t>
      </w:r>
      <w:r w:rsidR="00153DC6">
        <w:t>work made for hire</w:t>
      </w:r>
      <w:r w:rsidR="00727347">
        <w:t xml:space="preserve"> is defined in</w:t>
      </w:r>
      <w:r w:rsidR="008F08EE">
        <w:t xml:space="preserve"> </w:t>
      </w:r>
      <w:r w:rsidR="00B74CA5">
        <w:t xml:space="preserve">§ </w:t>
      </w:r>
      <w:r w:rsidR="008F08EE">
        <w:t>101(2) as “a work sp</w:t>
      </w:r>
      <w:r w:rsidR="007713AE">
        <w:t>ecially ordered or c</w:t>
      </w:r>
      <w:r w:rsidR="0059520D">
        <w:t xml:space="preserve">ommissioned for use as . . . </w:t>
      </w:r>
      <w:r w:rsidR="007713AE">
        <w:t>[an] audiovisual work…</w:t>
      </w:r>
      <w:r w:rsidR="008F08EE">
        <w:t>if the parties expressly agree in a written instrument signed by them that the work shall be co</w:t>
      </w:r>
      <w:r w:rsidR="004561E3">
        <w:t>nsidered a work made for hire</w:t>
      </w:r>
      <w:r w:rsidR="00EE527D">
        <w:t>.</w:t>
      </w:r>
      <w:r w:rsidR="004561E3">
        <w:t>”</w:t>
      </w:r>
      <w:r w:rsidR="00EE527D">
        <w:t xml:space="preserve">  </w:t>
      </w:r>
      <w:r w:rsidR="00157CB2">
        <w:t>The commissione</w:t>
      </w:r>
      <w:r w:rsidR="008F13EB">
        <w:t>r of the work made for hire is “</w:t>
      </w:r>
      <w:r w:rsidR="00157CB2">
        <w:t>t</w:t>
      </w:r>
      <w:r w:rsidR="00153DC6">
        <w:t>he author” of the prepared work under</w:t>
      </w:r>
      <w:r w:rsidR="00157CB2">
        <w:t xml:space="preserve">  </w:t>
      </w:r>
      <w:r w:rsidR="001375D6">
        <w:t>§ </w:t>
      </w:r>
      <w:r w:rsidR="00157CB2">
        <w:t>201(b).</w:t>
      </w:r>
    </w:p>
    <w:p w14:paraId="321C54AC" w14:textId="77777777" w:rsidR="00F41999" w:rsidRPr="00E449A4" w:rsidRDefault="00A9438F" w:rsidP="00EE527D">
      <w:pPr>
        <w:spacing w:line="480" w:lineRule="auto"/>
        <w:ind w:firstLine="720"/>
        <w:jc w:val="both"/>
      </w:pPr>
      <w:r>
        <w:t>Th</w:t>
      </w:r>
      <w:r w:rsidR="00727347">
        <w:t xml:space="preserve">e language of </w:t>
      </w:r>
      <w:r w:rsidR="00B74CA5">
        <w:t>§</w:t>
      </w:r>
      <w:r w:rsidR="008F13EB">
        <w:t xml:space="preserve"> 101(2)</w:t>
      </w:r>
      <w:r w:rsidR="00DE4968">
        <w:t xml:space="preserve"> requires the written work-for-hire </w:t>
      </w:r>
      <w:r w:rsidR="00157CB2">
        <w:t xml:space="preserve">agreement to precede </w:t>
      </w:r>
      <w:r w:rsidR="00727347">
        <w:t>the creation of the work.  The text “specially ordered or commissioned” specifies</w:t>
      </w:r>
      <w:r w:rsidR="00F41999">
        <w:t xml:space="preserve"> that</w:t>
      </w:r>
      <w:r w:rsidR="00727347">
        <w:t xml:space="preserve"> the written agreement is forward looking because an agreement could not be </w:t>
      </w:r>
      <w:r w:rsidR="00EE527D">
        <w:t>“</w:t>
      </w:r>
      <w:r w:rsidR="00727347">
        <w:t>commissioned</w:t>
      </w:r>
      <w:r w:rsidR="00EE527D">
        <w:t>”</w:t>
      </w:r>
      <w:r w:rsidR="00F41999">
        <w:t xml:space="preserve"> retroactively.</w:t>
      </w:r>
      <w:r w:rsidR="00727347">
        <w:t xml:space="preserve">  </w:t>
      </w:r>
      <w:r w:rsidR="00727347">
        <w:lastRenderedPageBreak/>
        <w:t>Th</w:t>
      </w:r>
      <w:r w:rsidR="004561E3">
        <w:t xml:space="preserve">e clause </w:t>
      </w:r>
      <w:r w:rsidR="00727347">
        <w:t>“the work shall be considered a work made for hire” similarly indicates the written agreement is prospectively designating the</w:t>
      </w:r>
      <w:r w:rsidR="00F41999">
        <w:t xml:space="preserve"> work as a work made for hire.</w:t>
      </w:r>
      <w:r w:rsidR="00727347">
        <w:t xml:space="preserve"> </w:t>
      </w:r>
      <w:r w:rsidR="00F41999">
        <w:t xml:space="preserve"> </w:t>
      </w:r>
      <w:r w:rsidR="00DC2C1B">
        <w:t xml:space="preserve">One way to ascertain the plain meaning of a word is to use a dictionary.  </w:t>
      </w:r>
      <w:r w:rsidR="00DC2C1B">
        <w:rPr>
          <w:i/>
        </w:rPr>
        <w:t>See, e.g.</w:t>
      </w:r>
      <w:r w:rsidR="00DC2C1B">
        <w:t xml:space="preserve">, </w:t>
      </w:r>
      <w:proofErr w:type="spellStart"/>
      <w:r w:rsidR="00DC2C1B" w:rsidRPr="00AC490D">
        <w:rPr>
          <w:i/>
        </w:rPr>
        <w:t>Carcieri</w:t>
      </w:r>
      <w:proofErr w:type="spellEnd"/>
      <w:r w:rsidR="00DC2C1B" w:rsidRPr="00AC490D">
        <w:rPr>
          <w:i/>
        </w:rPr>
        <w:t xml:space="preserve"> v. Salazar</w:t>
      </w:r>
      <w:r w:rsidR="00DC2C1B">
        <w:t>, 555 U.S. 379, 129 S. Ct. 1064</w:t>
      </w:r>
      <w:r w:rsidR="00DC2C1B" w:rsidRPr="00AC490D">
        <w:t xml:space="preserve"> (2009)</w:t>
      </w:r>
      <w:r w:rsidR="00DC2C1B">
        <w:t xml:space="preserve">; </w:t>
      </w:r>
      <w:r w:rsidR="00DC2C1B" w:rsidRPr="00AC490D">
        <w:rPr>
          <w:i/>
        </w:rPr>
        <w:t>Mallard v. United States</w:t>
      </w:r>
      <w:r w:rsidR="00DC2C1B" w:rsidRPr="00AC490D">
        <w:t>, 490 U.S. 296, 301 (1989)</w:t>
      </w:r>
      <w:r w:rsidR="00DC2C1B">
        <w:t xml:space="preserve">.  </w:t>
      </w:r>
      <w:r w:rsidR="00F41999">
        <w:t xml:space="preserve">According to Black’s Law Dictionary, shall means “has a duty to” or “is required to.”  </w:t>
      </w:r>
      <w:r w:rsidR="00F41999">
        <w:rPr>
          <w:i/>
        </w:rPr>
        <w:t>Black’s Law Dictionary</w:t>
      </w:r>
      <w:r w:rsidR="00F41999">
        <w:t xml:space="preserve"> </w:t>
      </w:r>
      <w:r w:rsidR="00E449A4">
        <w:t xml:space="preserve">689 </w:t>
      </w:r>
      <w:r w:rsidR="00F41999">
        <w:t>(9</w:t>
      </w:r>
      <w:r w:rsidR="00F41999" w:rsidRPr="00F41999">
        <w:t>th</w:t>
      </w:r>
      <w:r w:rsidR="00F41999">
        <w:t xml:space="preserve"> </w:t>
      </w:r>
      <w:r w:rsidR="00B74CA5">
        <w:t xml:space="preserve">ed. 2009).  </w:t>
      </w:r>
      <w:r w:rsidR="00E449A4">
        <w:t xml:space="preserve">Another meaning of shall is the future tense verb of “will.”  </w:t>
      </w:r>
      <w:r w:rsidR="00E449A4">
        <w:rPr>
          <w:i/>
        </w:rPr>
        <w:t>Id.</w:t>
      </w:r>
      <w:r w:rsidR="00E449A4">
        <w:t xml:space="preserve">  Under both of these definitions in Black’s Law, the “shall be considered” is prospective language.  If “shall” is substituted for “is required to” the phrase becomes “the work is required to be considered a work made for hire.”  “To be considered” is future tense</w:t>
      </w:r>
      <w:r w:rsidR="00550D26">
        <w:t xml:space="preserve"> indicating the written agreement is prospective.  Moreover, the future tense verb of “will” has the same effect.</w:t>
      </w:r>
      <w:r w:rsidR="0059520D">
        <w:t xml:space="preserve">  Rea</w:t>
      </w:r>
      <w:r w:rsidR="00DC2C1B">
        <w:t>d together §101(2) requires a “commissioned” work that is not yet created to be designated as a work made for hire.  Therefore, the written agreement creating this relationship must predate the creation of the work.</w:t>
      </w:r>
    </w:p>
    <w:p w14:paraId="03E9235A" w14:textId="77777777" w:rsidR="002D7C99" w:rsidRDefault="004561E3" w:rsidP="00EE527D">
      <w:pPr>
        <w:spacing w:line="480" w:lineRule="auto"/>
        <w:ind w:firstLine="720"/>
        <w:jc w:val="both"/>
      </w:pPr>
      <w:r>
        <w:t>Additionally</w:t>
      </w:r>
      <w:r w:rsidR="00157CB2">
        <w:t xml:space="preserve">, the plain meaning of the word “author” in § 201(b) </w:t>
      </w:r>
      <w:r w:rsidR="00AC490D">
        <w:t>requires</w:t>
      </w:r>
      <w:r w:rsidR="00157CB2">
        <w:t xml:space="preserve"> that t</w:t>
      </w:r>
      <w:r w:rsidR="00DE4968">
        <w:t>he parties enter a written work-for-</w:t>
      </w:r>
      <w:r w:rsidR="00157CB2">
        <w:t xml:space="preserve">hire agreement before the creation of a </w:t>
      </w:r>
      <w:r w:rsidR="00787059">
        <w:t xml:space="preserve">work.  </w:t>
      </w:r>
      <w:r w:rsidR="00C43627">
        <w:t>Since there is no definition of “author” in § 101, the word is to be un</w:t>
      </w:r>
      <w:r w:rsidR="00AC490D">
        <w:t xml:space="preserve">derstood by its plain meaning.  </w:t>
      </w:r>
      <w:r w:rsidR="00DC2C1B">
        <w:rPr>
          <w:i/>
        </w:rPr>
        <w:t xml:space="preserve">See </w:t>
      </w:r>
      <w:proofErr w:type="spellStart"/>
      <w:r w:rsidR="00AC490D" w:rsidRPr="00AC490D">
        <w:rPr>
          <w:i/>
        </w:rPr>
        <w:t>Asgrow</w:t>
      </w:r>
      <w:proofErr w:type="spellEnd"/>
      <w:r w:rsidR="00AC490D" w:rsidRPr="00AC490D">
        <w:rPr>
          <w:i/>
        </w:rPr>
        <w:t xml:space="preserve"> Seed Co. v. </w:t>
      </w:r>
      <w:proofErr w:type="spellStart"/>
      <w:r w:rsidR="00AC490D" w:rsidRPr="00AC490D">
        <w:rPr>
          <w:i/>
        </w:rPr>
        <w:t>Winterboer</w:t>
      </w:r>
      <w:proofErr w:type="spellEnd"/>
      <w:r w:rsidR="00DC2C1B">
        <w:t xml:space="preserve">, 513 U.S. 179, 187 (1995).  </w:t>
      </w:r>
      <w:r w:rsidR="00787059">
        <w:t>The dictionary definition of an author is “on</w:t>
      </w:r>
      <w:r>
        <w:t>e</w:t>
      </w:r>
      <w:r w:rsidR="00787059">
        <w:t xml:space="preserve"> who produces, creates, or brings into being; the beginner, creator, or first mover of anything.”  </w:t>
      </w:r>
      <w:r w:rsidR="00787059">
        <w:rPr>
          <w:i/>
        </w:rPr>
        <w:t>Webster’s New Twentieth Century Dictionary</w:t>
      </w:r>
      <w:r w:rsidR="00787059">
        <w:t xml:space="preserve"> 126 (Jean </w:t>
      </w:r>
      <w:proofErr w:type="spellStart"/>
      <w:r w:rsidR="00787059">
        <w:t>McKechnie</w:t>
      </w:r>
      <w:proofErr w:type="spellEnd"/>
      <w:r w:rsidR="00787059">
        <w:t xml:space="preserve"> et al. eds., 2d ed., 1983).</w:t>
      </w:r>
      <w:r w:rsidR="00AC4C61">
        <w:t xml:space="preserve">  </w:t>
      </w:r>
      <w:r w:rsidR="00550D26">
        <w:t>Allowing a work</w:t>
      </w:r>
      <w:r w:rsidR="00DE4968">
        <w:t>-for-</w:t>
      </w:r>
      <w:r w:rsidR="00550D26">
        <w:t>hire agreement to be signed after the work is completed</w:t>
      </w:r>
      <w:r w:rsidR="00AC4C61">
        <w:t xml:space="preserve"> </w:t>
      </w:r>
      <w:r w:rsidR="00EE527D">
        <w:t xml:space="preserve">would create an “author” after the creation </w:t>
      </w:r>
      <w:r>
        <w:t>of the work.</w:t>
      </w:r>
      <w:r w:rsidR="00AC490D">
        <w:t xml:space="preserve">  </w:t>
      </w:r>
      <w:r>
        <w:t>This reading of the statute is inconsistent with the meaning of an author as the one who creates something.</w:t>
      </w:r>
      <w:r w:rsidR="00EE527D">
        <w:t xml:space="preserve"> </w:t>
      </w:r>
      <w:r>
        <w:t xml:space="preserve"> Someone cannot be the creator of a work after</w:t>
      </w:r>
      <w:r w:rsidR="00550D26">
        <w:t xml:space="preserve"> the work is already in being.   </w:t>
      </w:r>
      <w:r w:rsidR="00DC2C1B">
        <w:rPr>
          <w:i/>
        </w:rPr>
        <w:t>See</w:t>
      </w:r>
      <w:r w:rsidR="00550D26">
        <w:t xml:space="preserve"> </w:t>
      </w:r>
      <w:proofErr w:type="spellStart"/>
      <w:r w:rsidR="0000715D" w:rsidRPr="00550D26">
        <w:rPr>
          <w:i/>
        </w:rPr>
        <w:t>Gladwell</w:t>
      </w:r>
      <w:proofErr w:type="spellEnd"/>
      <w:r w:rsidR="0000715D" w:rsidRPr="0001144A">
        <w:rPr>
          <w:i/>
        </w:rPr>
        <w:t xml:space="preserve"> Gov't </w:t>
      </w:r>
      <w:proofErr w:type="spellStart"/>
      <w:r w:rsidR="0000715D" w:rsidRPr="0001144A">
        <w:rPr>
          <w:i/>
        </w:rPr>
        <w:t>Servs</w:t>
      </w:r>
      <w:proofErr w:type="spellEnd"/>
      <w:r w:rsidR="0000715D" w:rsidRPr="0001144A">
        <w:rPr>
          <w:i/>
        </w:rPr>
        <w:t xml:space="preserve">., Inc. v. </w:t>
      </w:r>
      <w:proofErr w:type="spellStart"/>
      <w:r w:rsidR="0000715D" w:rsidRPr="0001144A">
        <w:rPr>
          <w:i/>
        </w:rPr>
        <w:t>Cnty</w:t>
      </w:r>
      <w:proofErr w:type="spellEnd"/>
      <w:r w:rsidR="0000715D" w:rsidRPr="0001144A">
        <w:rPr>
          <w:i/>
        </w:rPr>
        <w:t xml:space="preserve">. </w:t>
      </w:r>
      <w:proofErr w:type="gramStart"/>
      <w:r w:rsidR="0000715D" w:rsidRPr="0001144A">
        <w:rPr>
          <w:i/>
        </w:rPr>
        <w:t>of</w:t>
      </w:r>
      <w:proofErr w:type="gramEnd"/>
      <w:r w:rsidR="0000715D" w:rsidRPr="0001144A">
        <w:rPr>
          <w:i/>
        </w:rPr>
        <w:t xml:space="preserve"> Marin</w:t>
      </w:r>
      <w:r w:rsidR="0000715D">
        <w:t xml:space="preserve">, 265 </w:t>
      </w:r>
      <w:r w:rsidR="0000715D" w:rsidRPr="00A565C3">
        <w:lastRenderedPageBreak/>
        <w:t>Fed.</w:t>
      </w:r>
      <w:r w:rsidR="00D76FBB" w:rsidRPr="00A565C3">
        <w:t xml:space="preserve"> </w:t>
      </w:r>
      <w:proofErr w:type="spellStart"/>
      <w:r w:rsidR="0000715D" w:rsidRPr="00A565C3">
        <w:t>App</w:t>
      </w:r>
      <w:r w:rsidR="00D76FBB" w:rsidRPr="00A565C3">
        <w:t>’</w:t>
      </w:r>
      <w:r w:rsidR="0000715D" w:rsidRPr="00A565C3">
        <w:t>x</w:t>
      </w:r>
      <w:proofErr w:type="spellEnd"/>
      <w:r w:rsidR="0000715D" w:rsidRPr="00A565C3">
        <w:t>.</w:t>
      </w:r>
      <w:r w:rsidR="0000715D">
        <w:t xml:space="preserve"> 624, 626 (9th Cir. 2008) (</w:t>
      </w:r>
      <w:r w:rsidR="0000715D" w:rsidRPr="0000715D">
        <w:t>“The plain language of the statute indicates that a work-for-hire agreement cannot apply to works that are already in existence.”</w:t>
      </w:r>
      <w:r w:rsidR="0000715D">
        <w:t>).</w:t>
      </w:r>
      <w:r w:rsidR="00153DC6">
        <w:t xml:space="preserve">  </w:t>
      </w:r>
      <w:r w:rsidR="00DC2C1B">
        <w:t>R</w:t>
      </w:r>
      <w:r w:rsidR="00153DC6">
        <w:t xml:space="preserve">equiring a written agreement </w:t>
      </w:r>
      <w:r w:rsidR="00DC2C1B">
        <w:t>before</w:t>
      </w:r>
      <w:r w:rsidR="00153DC6">
        <w:t xml:space="preserve"> the </w:t>
      </w:r>
      <w:r w:rsidR="00DC2C1B">
        <w:t>creation</w:t>
      </w:r>
      <w:r w:rsidR="00153DC6">
        <w:t xml:space="preserve"> of the work</w:t>
      </w:r>
      <w:r w:rsidR="00DC2C1B">
        <w:t>, however,</w:t>
      </w:r>
      <w:r w:rsidR="00153DC6">
        <w:t xml:space="preserve"> is consistent with this definition because the commissioner “brought” the work “into being” in commissioning the work.   </w:t>
      </w:r>
    </w:p>
    <w:p w14:paraId="21FDF782" w14:textId="77777777" w:rsidR="0000715D" w:rsidRDefault="00AB13CD" w:rsidP="00EE527D">
      <w:pPr>
        <w:spacing w:line="480" w:lineRule="auto"/>
        <w:ind w:firstLine="720"/>
        <w:jc w:val="both"/>
      </w:pPr>
      <w:r>
        <w:t>Plaintiff</w:t>
      </w:r>
      <w:r w:rsidR="0000715D">
        <w:t xml:space="preserve"> might argue the “specially ordered or commissioned” does not have any temporal connection with the </w:t>
      </w:r>
      <w:r w:rsidR="003A20BC">
        <w:t>requi</w:t>
      </w:r>
      <w:r w:rsidR="00106FA7">
        <w:t xml:space="preserve">rement of a written agreement.  </w:t>
      </w:r>
      <w:r>
        <w:t>Plaintiff</w:t>
      </w:r>
      <w:r w:rsidR="003A20BC">
        <w:t xml:space="preserve"> might similarly argue that “shall” can be understood as looking forward and backwards</w:t>
      </w:r>
      <w:r w:rsidR="00106FA7">
        <w:t xml:space="preserve"> under the “required to” Black’s Law definition</w:t>
      </w:r>
      <w:r w:rsidR="003A20BC">
        <w:t xml:space="preserve">.  </w:t>
      </w:r>
      <w:r w:rsidR="00DC2C1B">
        <w:t>While these critiques might seem convincing when viewed in isolation, they fail under a holistic view of the statute</w:t>
      </w:r>
      <w:r w:rsidR="00153DC6">
        <w:t>.  “S</w:t>
      </w:r>
      <w:r w:rsidR="00C43627">
        <w:t xml:space="preserve">pecially ordered or commissioned” and “shall” </w:t>
      </w:r>
      <w:r w:rsidR="0059156F">
        <w:t>must be read in the future tense or else they would undermine the common understanding of the word “author.”</w:t>
      </w:r>
    </w:p>
    <w:p w14:paraId="270CF877" w14:textId="77777777" w:rsidR="00953F60" w:rsidRDefault="0059156F" w:rsidP="00EE527D">
      <w:pPr>
        <w:spacing w:line="480" w:lineRule="auto"/>
        <w:ind w:firstLine="720"/>
        <w:jc w:val="both"/>
      </w:pPr>
      <w:r>
        <w:t>The</w:t>
      </w:r>
      <w:r w:rsidR="00DE4968">
        <w:t xml:space="preserve"> Copyright Act’s work-for-</w:t>
      </w:r>
      <w:r w:rsidR="00236812">
        <w:t xml:space="preserve">hire </w:t>
      </w:r>
      <w:r>
        <w:t>definition requires</w:t>
      </w:r>
      <w:r w:rsidR="00EE527D">
        <w:t xml:space="preserve"> </w:t>
      </w:r>
      <w:r>
        <w:t xml:space="preserve">a written agreement to precede the creation of the work.  This </w:t>
      </w:r>
      <w:r w:rsidR="00EE527D">
        <w:t>render</w:t>
      </w:r>
      <w:r>
        <w:t>s</w:t>
      </w:r>
      <w:r w:rsidR="00EE527D">
        <w:t xml:space="preserve"> the</w:t>
      </w:r>
      <w:r w:rsidR="00157CB2">
        <w:t xml:space="preserve"> written agreement </w:t>
      </w:r>
      <w:r w:rsidR="00EE527D">
        <w:t>signed by Ms. Lime</w:t>
      </w:r>
      <w:r w:rsidR="00236812">
        <w:t xml:space="preserve"> and Mr. Nelson</w:t>
      </w:r>
      <w:r w:rsidR="00EE527D">
        <w:t xml:space="preserve"> </w:t>
      </w:r>
      <w:r>
        <w:t>after the creation of “Anticipatory Repudiation”</w:t>
      </w:r>
      <w:r w:rsidR="00236812">
        <w:t xml:space="preserve"> outside the scope of</w:t>
      </w:r>
      <w:r w:rsidR="005D4B25">
        <w:t xml:space="preserve"> </w:t>
      </w:r>
      <w:r w:rsidR="00106FA7">
        <w:t>§ </w:t>
      </w:r>
      <w:r w:rsidR="00157CB2">
        <w:t>101(2).</w:t>
      </w:r>
      <w:r>
        <w:t xml:space="preserve">  </w:t>
      </w:r>
      <w:r w:rsidR="007733EF">
        <w:t xml:space="preserve">Plaintiff is </w:t>
      </w:r>
      <w:r w:rsidR="00E16F96">
        <w:t>consequently</w:t>
      </w:r>
      <w:r w:rsidR="007733EF">
        <w:t xml:space="preserve"> not the author under § 201(b) and has no copyright.  Defendants could not have infringed on Plaintiff’s non-existent copyright.  </w:t>
      </w:r>
      <w:r w:rsidR="00A559C4">
        <w:t xml:space="preserve">Thus, the Court should grant </w:t>
      </w:r>
      <w:r w:rsidR="007733EF">
        <w:t>Defendants’</w:t>
      </w:r>
      <w:r w:rsidR="00A559C4">
        <w:t xml:space="preserve"> Motion and dismiss the Plaintiff’s claim.</w:t>
      </w:r>
    </w:p>
    <w:p w14:paraId="37A4B696" w14:textId="77777777" w:rsidR="003A20BC" w:rsidRDefault="003A20BC" w:rsidP="00550D26">
      <w:pPr>
        <w:pStyle w:val="Heading2"/>
        <w:ind w:left="1440" w:hanging="720"/>
      </w:pPr>
      <w:r>
        <w:t xml:space="preserve">The Structure of </w:t>
      </w:r>
      <w:r w:rsidR="00DC2C1B">
        <w:t>the Copyright Act</w:t>
      </w:r>
      <w:r w:rsidR="00AB697E">
        <w:t xml:space="preserve"> Mandates the Work-for-</w:t>
      </w:r>
      <w:r>
        <w:t>Hire Written Agreement Precede the Creation of the Work</w:t>
      </w:r>
      <w:r w:rsidR="00DC2C1B">
        <w:t>.</w:t>
      </w:r>
    </w:p>
    <w:p w14:paraId="44FD6BAA" w14:textId="77777777" w:rsidR="003A20BC" w:rsidRDefault="003A20BC" w:rsidP="003A20BC"/>
    <w:p w14:paraId="4918240F" w14:textId="77777777" w:rsidR="006B32BF" w:rsidRDefault="006B32BF" w:rsidP="006B32BF">
      <w:pPr>
        <w:spacing w:line="480" w:lineRule="auto"/>
        <w:ind w:firstLine="720"/>
        <w:jc w:val="both"/>
      </w:pPr>
      <w:r>
        <w:t xml:space="preserve">The specific words of a statute are read in light of the overall structure of that “statutory scheme.”  </w:t>
      </w:r>
      <w:proofErr w:type="gramStart"/>
      <w:r>
        <w:rPr>
          <w:i/>
        </w:rPr>
        <w:t>Davis v.</w:t>
      </w:r>
      <w:r w:rsidR="00DC2C1B">
        <w:rPr>
          <w:i/>
        </w:rPr>
        <w:t xml:space="preserve"> Mich.</w:t>
      </w:r>
      <w:r>
        <w:rPr>
          <w:i/>
        </w:rPr>
        <w:t xml:space="preserve"> Dept. of Treasury</w:t>
      </w:r>
      <w:r>
        <w:t>, 489 U.S. 803, 809 (1989).</w:t>
      </w:r>
      <w:proofErr w:type="gramEnd"/>
      <w:r>
        <w:t xml:space="preserve">  Accordingly, the definition of a work made for hire must be considered within of the structure of the entire Copyright Act.  The structure of United States Copyright Law requires that a work</w:t>
      </w:r>
      <w:r w:rsidR="00AB697E">
        <w:t>-for-</w:t>
      </w:r>
      <w:r>
        <w:t xml:space="preserve">hire written agreement precede the creation of the work.  </w:t>
      </w:r>
    </w:p>
    <w:p w14:paraId="3E2C4258" w14:textId="77777777" w:rsidR="006B32BF" w:rsidRDefault="006B32BF" w:rsidP="006B32BF">
      <w:pPr>
        <w:spacing w:line="480" w:lineRule="auto"/>
        <w:ind w:firstLine="720"/>
        <w:jc w:val="both"/>
      </w:pPr>
      <w:r>
        <w:lastRenderedPageBreak/>
        <w:t>Only copyright ownership, not authorship, can be transferred after the creation of a work.  United States Copyright Law confers authorship solely in the creator of a work.  Original copyright protection “vests initially in the author or authors” of “</w:t>
      </w:r>
      <w:r w:rsidR="00B74CA5">
        <w:t xml:space="preserve">original works of authorship.”  </w:t>
      </w:r>
      <w:proofErr w:type="gramStart"/>
      <w:r w:rsidR="00B74CA5">
        <w:t>17 U.S.C. §§</w:t>
      </w:r>
      <w:r>
        <w:t xml:space="preserve"> 201(a), 102(a)</w:t>
      </w:r>
      <w:r w:rsidR="00DC2C1B">
        <w:t>.</w:t>
      </w:r>
      <w:proofErr w:type="gramEnd"/>
      <w:r w:rsidR="00DC2C1B">
        <w:t xml:space="preserve">  This</w:t>
      </w:r>
      <w:r>
        <w:t xml:space="preserve"> fundamental principle of copyright law that only creation can result in authorship is echoed throughout copyright law.  </w:t>
      </w:r>
      <w:proofErr w:type="gramStart"/>
      <w:r w:rsidR="00B74CA5">
        <w:rPr>
          <w:i/>
        </w:rPr>
        <w:t>Id.</w:t>
      </w:r>
      <w:r w:rsidR="00B74CA5">
        <w:t xml:space="preserve"> </w:t>
      </w:r>
      <w:r>
        <w:t>§ 103(b) (“The copyright in a compilation or derivative work extends only to the material contribut</w:t>
      </w:r>
      <w:r w:rsidR="00153DC6">
        <w:t>ed by the author of such work”);</w:t>
      </w:r>
      <w:r>
        <w:t xml:space="preserve"> </w:t>
      </w:r>
      <w:r>
        <w:rPr>
          <w:i/>
        </w:rPr>
        <w:t>Id.</w:t>
      </w:r>
      <w:r>
        <w:t xml:space="preserve"> § 104A(b) (“The copyright in a compilation or derivative work extends only to the material contributed by the author of such work”).</w:t>
      </w:r>
      <w:proofErr w:type="gramEnd"/>
      <w:r>
        <w:t xml:space="preserve">  It would be inconsistent with this principle to manufacture a new author after the creation of the work</w:t>
      </w:r>
      <w:r w:rsidR="009713E6">
        <w:t>.</w:t>
      </w:r>
    </w:p>
    <w:p w14:paraId="42F9FD37" w14:textId="77777777" w:rsidR="009713E6" w:rsidRPr="00E125E6" w:rsidRDefault="00DC2C1B" w:rsidP="006B32BF">
      <w:pPr>
        <w:spacing w:line="480" w:lineRule="auto"/>
        <w:ind w:firstLine="720"/>
        <w:jc w:val="both"/>
      </w:pPr>
      <w:r>
        <w:t>Further, a</w:t>
      </w:r>
      <w:r w:rsidR="009C14AB">
        <w:t xml:space="preserve"> written agreement must precede the creation of the work or else the transfer provisions in would be rendered redundant.  </w:t>
      </w:r>
      <w:r w:rsidR="00A90263">
        <w:t xml:space="preserve">It is an “elementary canon of construction” that a statute should not be read as to make a </w:t>
      </w:r>
      <w:r w:rsidR="00153DC6">
        <w:t>provision</w:t>
      </w:r>
      <w:r w:rsidR="00A90263">
        <w:t xml:space="preserve"> “redundant or largely superfluous.”  </w:t>
      </w:r>
      <w:proofErr w:type="spellStart"/>
      <w:proofErr w:type="gramStart"/>
      <w:r w:rsidR="00A90263">
        <w:rPr>
          <w:i/>
        </w:rPr>
        <w:t>Colautti</w:t>
      </w:r>
      <w:proofErr w:type="spellEnd"/>
      <w:r w:rsidR="00A90263">
        <w:rPr>
          <w:i/>
        </w:rPr>
        <w:t xml:space="preserve"> v. Franklin</w:t>
      </w:r>
      <w:r w:rsidR="00A90263">
        <w:t>, 439 U.S. 379, 392 (1979).</w:t>
      </w:r>
      <w:proofErr w:type="gramEnd"/>
      <w:r w:rsidR="00A90263">
        <w:t xml:space="preserve">  </w:t>
      </w:r>
      <w:r w:rsidR="00140B86">
        <w:t xml:space="preserve">Section 204(a) requires a written agreement to transfer copyright ownership.  This provision is necessary because the transfer of ownership is not available through the mere transfer of any material object.  </w:t>
      </w:r>
      <w:proofErr w:type="gramStart"/>
      <w:r w:rsidR="00B74CA5">
        <w:t xml:space="preserve">17 U.S.C. </w:t>
      </w:r>
      <w:r w:rsidR="00140B86">
        <w:t>§ 202.</w:t>
      </w:r>
      <w:proofErr w:type="gramEnd"/>
      <w:r w:rsidR="00140B86">
        <w:t xml:space="preserve">  </w:t>
      </w:r>
      <w:r w:rsidR="00DE4968">
        <w:t>The work-for-</w:t>
      </w:r>
      <w:r w:rsidR="00E125E6">
        <w:t xml:space="preserve">hire legal construction is distinct in that it allows the employer or commissioner initial copyright in works created.  </w:t>
      </w:r>
      <w:proofErr w:type="gramStart"/>
      <w:r w:rsidR="00E125E6">
        <w:rPr>
          <w:i/>
        </w:rPr>
        <w:t xml:space="preserve">Dumas v. </w:t>
      </w:r>
      <w:proofErr w:type="spellStart"/>
      <w:r w:rsidR="00E125E6">
        <w:rPr>
          <w:i/>
        </w:rPr>
        <w:t>Gommerman</w:t>
      </w:r>
      <w:proofErr w:type="spellEnd"/>
      <w:r w:rsidR="00E125E6">
        <w:t>, 865 F.2d 1093, 1097-98 (9</w:t>
      </w:r>
      <w:r w:rsidR="00E125E6" w:rsidRPr="00E125E6">
        <w:t>th</w:t>
      </w:r>
      <w:r w:rsidR="00E125E6">
        <w:t xml:space="preserve"> Cir. 1989).</w:t>
      </w:r>
      <w:proofErr w:type="gramEnd"/>
      <w:r w:rsidR="00E002D0">
        <w:t xml:space="preserve">  The only other substantive difference between transfer of ownership and </w:t>
      </w:r>
      <w:r w:rsidR="00DE4968">
        <w:t>work-for-</w:t>
      </w:r>
      <w:r w:rsidR="00E002D0">
        <w:t>hire is the differi</w:t>
      </w:r>
      <w:r w:rsidR="00840DB7">
        <w:t xml:space="preserve">ng termination conditions under </w:t>
      </w:r>
      <w:r w:rsidR="00B74CA5">
        <w:t xml:space="preserve">17 U.S.C. </w:t>
      </w:r>
      <w:r w:rsidR="00840DB7">
        <w:t>§ 203</w:t>
      </w:r>
      <w:r w:rsidR="00B74CA5">
        <w:t xml:space="preserve"> (2010)</w:t>
      </w:r>
      <w:r w:rsidR="00840DB7">
        <w:t xml:space="preserve">.  Authors who transfer their ownership rights have the option to terminate that transfer 35 years after the transfer is made whereas the commissioner of a work made for hire retains the copyright indefinitely. </w:t>
      </w:r>
      <w:r w:rsidR="00B74CA5">
        <w:t>§</w:t>
      </w:r>
      <w:r w:rsidR="00840DB7">
        <w:t xml:space="preserve"> 203(a).  This difference is consistent with the understanding that the work-for-hire provision exists separate from the transfer provision in order to allow the employer or commissioner the initial copyright.  </w:t>
      </w:r>
      <w:r w:rsidR="00840DB7">
        <w:lastRenderedPageBreak/>
        <w:t>Therefore, if a retroactive written work-for-hire agreement is legally valid</w:t>
      </w:r>
      <w:r w:rsidR="00A90263">
        <w:t xml:space="preserve"> then</w:t>
      </w:r>
      <w:r w:rsidR="00840DB7">
        <w:t xml:space="preserve"> it renders the</w:t>
      </w:r>
      <w:r w:rsidR="00A90263">
        <w:t xml:space="preserve"> transfer provision redundant.  </w:t>
      </w:r>
      <w:r w:rsidR="00840DB7">
        <w:t xml:space="preserve"> </w:t>
      </w:r>
    </w:p>
    <w:p w14:paraId="0B73F941" w14:textId="77777777" w:rsidR="00FA27D4" w:rsidRDefault="006B32BF" w:rsidP="006B32BF">
      <w:pPr>
        <w:spacing w:line="480" w:lineRule="auto"/>
        <w:ind w:firstLine="720"/>
        <w:jc w:val="both"/>
      </w:pPr>
      <w:r>
        <w:t xml:space="preserve">Ms. Lime couldn’t have transferred her title as author to </w:t>
      </w:r>
      <w:r w:rsidR="001375D6">
        <w:t>Plaintiff</w:t>
      </w:r>
      <w:r>
        <w:t xml:space="preserve"> after she completed “Anticipatory Repudiation” because no legal mechanism exists for such a transfer</w:t>
      </w:r>
      <w:r w:rsidR="00A90263">
        <w:t xml:space="preserve"> of authorship</w:t>
      </w:r>
      <w:r>
        <w:t>.</w:t>
      </w:r>
      <w:r w:rsidR="00A90263">
        <w:t xml:space="preserve">  This is because only ownership, not authorship, can be transferred under the Copyright Act and because the transfer of ownership provision would be rendered superfluous if retroactive written work-for-hire agreements were valid.</w:t>
      </w:r>
      <w:r>
        <w:t xml:space="preserve">  Accordingly, the Court should dismiss the Plaintiff’s request for injunction and damages.</w:t>
      </w:r>
    </w:p>
    <w:p w14:paraId="7B2DF705" w14:textId="77777777" w:rsidR="00DA2DC9" w:rsidRDefault="00DC2C1B" w:rsidP="00DA2DC9">
      <w:pPr>
        <w:pStyle w:val="Heading2"/>
        <w:ind w:left="1440" w:hanging="720"/>
      </w:pPr>
      <w:r>
        <w:t xml:space="preserve">The Plain Meaning of § 101(2) and </w:t>
      </w:r>
      <w:r w:rsidR="003D51D6">
        <w:t xml:space="preserve">Structure of the Copyright Act Render the Oral Agreement Legally Insignificant.  </w:t>
      </w:r>
    </w:p>
    <w:p w14:paraId="2D6A74CD" w14:textId="77777777" w:rsidR="00DA2DC9" w:rsidRDefault="00DA2DC9" w:rsidP="00DA2DC9"/>
    <w:p w14:paraId="680FAB38" w14:textId="77777777" w:rsidR="006B32BF" w:rsidRDefault="00FA5ACE" w:rsidP="006B32BF">
      <w:pPr>
        <w:spacing w:line="480" w:lineRule="auto"/>
        <w:ind w:firstLine="720"/>
        <w:jc w:val="both"/>
      </w:pPr>
      <w:r>
        <w:t xml:space="preserve"> </w:t>
      </w:r>
      <w:r w:rsidR="006B32BF">
        <w:t xml:space="preserve">The oral agreement between Ms. Lime and Mr. Nelson on March 27, 2010 is of no legal consequence because under the plain meaning of </w:t>
      </w:r>
      <w:r w:rsidR="00B74CA5">
        <w:t>§</w:t>
      </w:r>
      <w:r w:rsidR="006B32BF">
        <w:t xml:space="preserve"> 101(2) a work made for hire must be executed in a written, not oral, agreement.  There exists no legal validity for an oral work-for-hire agreement </w:t>
      </w:r>
      <w:r w:rsidR="00153DC6">
        <w:t>under</w:t>
      </w:r>
      <w:r w:rsidR="006B32BF">
        <w:t xml:space="preserve"> either </w:t>
      </w:r>
      <w:r w:rsidR="00B74CA5">
        <w:t xml:space="preserve">§§ </w:t>
      </w:r>
      <w:r w:rsidR="006B32BF">
        <w:t xml:space="preserve">101(2) or 201(b).  </w:t>
      </w:r>
    </w:p>
    <w:p w14:paraId="3C287FE0" w14:textId="77777777" w:rsidR="006B32BF" w:rsidRDefault="006B32BF" w:rsidP="006B32BF">
      <w:pPr>
        <w:spacing w:line="480" w:lineRule="auto"/>
        <w:ind w:firstLine="720"/>
        <w:jc w:val="both"/>
      </w:pPr>
      <w:r>
        <w:t xml:space="preserve">The Copyright Act’s transfer provisions similarly render the oral agreement legally insignificant.  </w:t>
      </w:r>
      <w:r w:rsidR="003D51D6">
        <w:t>There is a presumption of meaningful variation in statutory interpretation, indicating different statutory wording suggests different statutory meaning</w:t>
      </w:r>
      <w:r w:rsidR="003D51D6" w:rsidRPr="009713E6">
        <w:rPr>
          <w:i/>
        </w:rPr>
        <w:t>.  Keene Corp. v. United States</w:t>
      </w:r>
      <w:r w:rsidR="003D51D6">
        <w:t>, 508 U.S. 200, 208 (1993).  Under the transfer provisions of the Copyright Act, t</w:t>
      </w:r>
      <w:r>
        <w:t xml:space="preserve">ransfer of copyright ownership is invalid unless “an instrument of conveyance, or a note or memorandum of the transfer, is in writing and signed by the owner of the rights conveyed.”  § 204(a).  In contrast, a work made for hire is created “if the parties expressly agree in a written instrument signed by them.”  § 101(2).  Allowing transfer of ownership through a “note or memorandum of the transfer” means the written agreement can be executed following an oral agreement.  </w:t>
      </w:r>
      <w:r w:rsidRPr="00B74CA5">
        <w:rPr>
          <w:i/>
        </w:rPr>
        <w:t>See</w:t>
      </w:r>
      <w:r w:rsidR="009713E6" w:rsidRPr="00B74CA5">
        <w:t xml:space="preserve"> </w:t>
      </w:r>
      <w:r w:rsidR="009713E6" w:rsidRPr="00B74CA5">
        <w:rPr>
          <w:i/>
        </w:rPr>
        <w:t>also</w:t>
      </w:r>
      <w:r>
        <w:t xml:space="preserve"> </w:t>
      </w:r>
      <w:r w:rsidRPr="009713E6">
        <w:rPr>
          <w:i/>
        </w:rPr>
        <w:t>Barefoot Architect, Inc. v. Bunge</w:t>
      </w:r>
      <w:r>
        <w:t>, 632 F.3d 822</w:t>
      </w:r>
      <w:r w:rsidR="00B74CA5">
        <w:t>, 827</w:t>
      </w:r>
      <w:r>
        <w:t xml:space="preserve"> (2011); </w:t>
      </w:r>
      <w:r w:rsidRPr="009713E6">
        <w:rPr>
          <w:i/>
        </w:rPr>
        <w:t xml:space="preserve">Eden Toys, </w:t>
      </w:r>
      <w:r w:rsidRPr="009713E6">
        <w:rPr>
          <w:i/>
        </w:rPr>
        <w:lastRenderedPageBreak/>
        <w:t xml:space="preserve">Inc. v. </w:t>
      </w:r>
      <w:proofErr w:type="spellStart"/>
      <w:r w:rsidRPr="009713E6">
        <w:rPr>
          <w:i/>
        </w:rPr>
        <w:t>Florelee</w:t>
      </w:r>
      <w:proofErr w:type="spellEnd"/>
      <w:r w:rsidRPr="009713E6">
        <w:rPr>
          <w:i/>
        </w:rPr>
        <w:t xml:space="preserve"> Undergarment Co., Inc.</w:t>
      </w:r>
      <w:r>
        <w:t>, 697 F.2d 27</w:t>
      </w:r>
      <w:r w:rsidR="00B74CA5">
        <w:t>, 36</w:t>
      </w:r>
      <w:r>
        <w:t xml:space="preserve"> (2d Cir. 1982).  This is due to the fact that “note</w:t>
      </w:r>
      <w:r w:rsidR="003D51D6">
        <w:t xml:space="preserve"> or memorandum of the transfer” indicates </w:t>
      </w:r>
      <w:r>
        <w:t>the transfer has already taken place</w:t>
      </w:r>
      <w:r w:rsidR="003D51D6">
        <w:t xml:space="preserve"> and the writing is recording something that has already taken place</w:t>
      </w:r>
      <w:r>
        <w:t xml:space="preserve">.  </w:t>
      </w:r>
      <w:r w:rsidRPr="00242B31">
        <w:rPr>
          <w:i/>
        </w:rPr>
        <w:t>See Barefoot Architect</w:t>
      </w:r>
      <w:r>
        <w:t xml:space="preserve">, 632 F.3d </w:t>
      </w:r>
      <w:r w:rsidR="003D51D6">
        <w:t xml:space="preserve">at 827.  </w:t>
      </w:r>
      <w:r w:rsidR="00DE4968">
        <w:t xml:space="preserve">Therefore, </w:t>
      </w:r>
      <w:r w:rsidR="00153DC6">
        <w:t xml:space="preserve">only a written agreement, not oral, is accorded legal significance </w:t>
      </w:r>
      <w:r w:rsidR="00DE4968">
        <w:t>because the work-for-</w:t>
      </w:r>
      <w:r>
        <w:t xml:space="preserve">hire provisions in the Copyright Act do not allow for conveyance through “note or </w:t>
      </w:r>
      <w:r w:rsidR="00153DC6">
        <w:t>memorandum.</w:t>
      </w:r>
      <w:r w:rsidR="00DE4968">
        <w:t xml:space="preserve">” </w:t>
      </w:r>
    </w:p>
    <w:p w14:paraId="78BE89DD" w14:textId="77777777" w:rsidR="006B32BF" w:rsidRPr="005925BC" w:rsidRDefault="006B32BF" w:rsidP="006B32BF">
      <w:pPr>
        <w:spacing w:line="480" w:lineRule="auto"/>
        <w:ind w:firstLine="720"/>
        <w:jc w:val="both"/>
      </w:pPr>
      <w:r>
        <w:t xml:space="preserve">Plaintiff might cite </w:t>
      </w:r>
      <w:r w:rsidR="009713E6">
        <w:rPr>
          <w:i/>
        </w:rPr>
        <w:t>Playboy Enterprises</w:t>
      </w:r>
      <w:r w:rsidRPr="009713E6">
        <w:rPr>
          <w:i/>
        </w:rPr>
        <w:t xml:space="preserve"> Inc. v. Dumas</w:t>
      </w:r>
      <w:r>
        <w:t xml:space="preserve"> in s</w:t>
      </w:r>
      <w:r w:rsidR="00242B31">
        <w:t>upport of its argument</w:t>
      </w:r>
      <w:r w:rsidR="003D51D6">
        <w:t xml:space="preserve"> that</w:t>
      </w:r>
      <w:r w:rsidR="00242B31">
        <w:t xml:space="preserve"> a written agreement</w:t>
      </w:r>
      <w:r>
        <w:t xml:space="preserve"> can come after the work is created.  </w:t>
      </w:r>
      <w:proofErr w:type="gramStart"/>
      <w:r>
        <w:t>53 F.3d 549 (2d Cir. 1995).</w:t>
      </w:r>
      <w:proofErr w:type="gramEnd"/>
      <w:r>
        <w:t xml:space="preserve">  </w:t>
      </w:r>
      <w:r w:rsidRPr="005925BC">
        <w:rPr>
          <w:i/>
        </w:rPr>
        <w:t>Playboy</w:t>
      </w:r>
      <w:r>
        <w:t xml:space="preserve"> </w:t>
      </w:r>
      <w:r w:rsidR="003D51D6">
        <w:t>affirmed</w:t>
      </w:r>
      <w:r>
        <w:t xml:space="preserve"> that an agreement between the parties is necessary before the creation of the work cl</w:t>
      </w:r>
      <w:r w:rsidR="005925BC">
        <w:t xml:space="preserve">assifying the work as for hire.  </w:t>
      </w:r>
      <w:proofErr w:type="gramStart"/>
      <w:r w:rsidRPr="00242B31">
        <w:rPr>
          <w:i/>
        </w:rPr>
        <w:t>Id.</w:t>
      </w:r>
      <w:r>
        <w:t xml:space="preserve"> at 559.</w:t>
      </w:r>
      <w:proofErr w:type="gramEnd"/>
      <w:r>
        <w:t xml:space="preserve">   However, it holds that a writing requirement can be met by a writing executed after the work is created if</w:t>
      </w:r>
      <w:r w:rsidR="003D51D6">
        <w:t xml:space="preserve"> the</w:t>
      </w:r>
      <w:r>
        <w:t xml:space="preserve"> writing confirms</w:t>
      </w:r>
      <w:r w:rsidR="003D51D6">
        <w:t xml:space="preserve"> a</w:t>
      </w:r>
      <w:r>
        <w:t xml:space="preserve"> prior oral agreement. </w:t>
      </w:r>
      <w:r w:rsidR="005925BC">
        <w:t xml:space="preserve"> </w:t>
      </w:r>
      <w:r w:rsidRPr="00242B31">
        <w:rPr>
          <w:i/>
        </w:rPr>
        <w:t>Id.</w:t>
      </w:r>
      <w:r>
        <w:t xml:space="preserve">  The court </w:t>
      </w:r>
      <w:r w:rsidR="003D51D6">
        <w:t>cautioned that its ruling was narrow in scope and would need “</w:t>
      </w:r>
      <w:r>
        <w:t xml:space="preserve">further testing in the crucible of fact patterns by future cases.”  </w:t>
      </w:r>
      <w:r w:rsidRPr="00242B31">
        <w:rPr>
          <w:i/>
        </w:rPr>
        <w:t>Id.</w:t>
      </w:r>
      <w:r>
        <w:t xml:space="preserve"> (quoting 1 Melville B. </w:t>
      </w:r>
      <w:proofErr w:type="spellStart"/>
      <w:r>
        <w:t>Nimmer</w:t>
      </w:r>
      <w:proofErr w:type="spellEnd"/>
      <w:r>
        <w:t xml:space="preserve"> &amp; David </w:t>
      </w:r>
      <w:proofErr w:type="spellStart"/>
      <w:r>
        <w:t>Nimmer</w:t>
      </w:r>
      <w:proofErr w:type="spellEnd"/>
      <w:r>
        <w:t xml:space="preserve">, </w:t>
      </w:r>
      <w:proofErr w:type="spellStart"/>
      <w:r>
        <w:t>Nimmer</w:t>
      </w:r>
      <w:proofErr w:type="spellEnd"/>
      <w:r>
        <w:t xml:space="preserve"> on Copyright § 5.03[B][2][b] (1994)).  </w:t>
      </w:r>
      <w:r w:rsidRPr="00A565C3">
        <w:t xml:space="preserve">The </w:t>
      </w:r>
      <w:r w:rsidRPr="00A565C3">
        <w:rPr>
          <w:i/>
        </w:rPr>
        <w:t>Playboy</w:t>
      </w:r>
      <w:r w:rsidRPr="00A565C3">
        <w:t xml:space="preserve"> court was rightly uneasy regarding its rule because it </w:t>
      </w:r>
      <w:r w:rsidR="003D51D6" w:rsidRPr="00A565C3">
        <w:t>creates</w:t>
      </w:r>
      <w:r w:rsidRPr="00A565C3">
        <w:t xml:space="preserve"> legal significance </w:t>
      </w:r>
      <w:r w:rsidR="003D51D6" w:rsidRPr="00A565C3">
        <w:t>in</w:t>
      </w:r>
      <w:r w:rsidRPr="00A565C3">
        <w:t xml:space="preserve"> oral </w:t>
      </w:r>
      <w:proofErr w:type="gramStart"/>
      <w:r w:rsidRPr="00A565C3">
        <w:t>agreements that is</w:t>
      </w:r>
      <w:proofErr w:type="gramEnd"/>
      <w:r w:rsidRPr="00A565C3">
        <w:t xml:space="preserve"> not present in the plain language of the Copyright Act’s work-made-for-hire provisions.</w:t>
      </w:r>
      <w:r w:rsidR="005925BC">
        <w:t xml:space="preserve">  </w:t>
      </w:r>
      <w:r w:rsidR="003D51D6">
        <w:rPr>
          <w:i/>
        </w:rPr>
        <w:t>See</w:t>
      </w:r>
      <w:r w:rsidR="005925BC">
        <w:rPr>
          <w:i/>
        </w:rPr>
        <w:t xml:space="preserve"> Schiller &amp; Schmidt, Inc. v. </w:t>
      </w:r>
      <w:proofErr w:type="spellStart"/>
      <w:r w:rsidR="005925BC">
        <w:rPr>
          <w:i/>
        </w:rPr>
        <w:t>Nordisco</w:t>
      </w:r>
      <w:proofErr w:type="spellEnd"/>
      <w:r w:rsidR="005925BC">
        <w:rPr>
          <w:i/>
        </w:rPr>
        <w:t xml:space="preserve"> Corp.</w:t>
      </w:r>
      <w:r w:rsidR="005925BC">
        <w:t>, 969 F.2d 410, 412 (7</w:t>
      </w:r>
      <w:r w:rsidR="005925BC" w:rsidRPr="005925BC">
        <w:t>th</w:t>
      </w:r>
      <w:r w:rsidR="005925BC">
        <w:t xml:space="preserve"> Cir. 1992) (holding a written agreement must precede the creation of a work for it to be considered made for hire).  </w:t>
      </w:r>
    </w:p>
    <w:p w14:paraId="40BBED27" w14:textId="77777777" w:rsidR="002331DF" w:rsidRDefault="003D51D6" w:rsidP="003D51D6">
      <w:pPr>
        <w:spacing w:line="480" w:lineRule="auto"/>
        <w:ind w:firstLine="720"/>
        <w:jc w:val="both"/>
      </w:pPr>
      <w:r>
        <w:t>S</w:t>
      </w:r>
      <w:r w:rsidR="006B32BF">
        <w:t>ince Plaintiff is asserting authorship of the screenplay</w:t>
      </w:r>
      <w:r>
        <w:t xml:space="preserve"> under the work-for-hire, not the transfer, provisions</w:t>
      </w:r>
      <w:r w:rsidR="006B32BF">
        <w:t xml:space="preserve"> the oral agreement</w:t>
      </w:r>
      <w:r>
        <w:t xml:space="preserve"> between Ms. Lime and Mr. Nelson</w:t>
      </w:r>
      <w:r w:rsidR="006B32BF">
        <w:t xml:space="preserve"> is of no legal significance and should </w:t>
      </w:r>
      <w:r>
        <w:t xml:space="preserve">not </w:t>
      </w:r>
      <w:r w:rsidR="006B32BF">
        <w:t>be considered by the Court.</w:t>
      </w:r>
    </w:p>
    <w:p w14:paraId="0485D367" w14:textId="77777777" w:rsidR="00003AE8" w:rsidRDefault="00003AE8" w:rsidP="003D51D6">
      <w:pPr>
        <w:spacing w:line="480" w:lineRule="auto"/>
        <w:ind w:firstLine="720"/>
        <w:jc w:val="both"/>
      </w:pPr>
    </w:p>
    <w:p w14:paraId="1D0BCEEB" w14:textId="77777777" w:rsidR="00003AE8" w:rsidRPr="00DA2DC9" w:rsidRDefault="00003AE8" w:rsidP="003D51D6">
      <w:pPr>
        <w:spacing w:line="480" w:lineRule="auto"/>
        <w:ind w:firstLine="720"/>
        <w:jc w:val="both"/>
      </w:pPr>
    </w:p>
    <w:p w14:paraId="690DBF32" w14:textId="77777777" w:rsidR="003A3ADF" w:rsidRDefault="008C5FC0" w:rsidP="00550D26">
      <w:pPr>
        <w:pStyle w:val="Heading1"/>
        <w:ind w:left="720" w:hanging="720"/>
      </w:pPr>
      <w:r>
        <w:lastRenderedPageBreak/>
        <w:t>Congress Intended</w:t>
      </w:r>
      <w:r w:rsidR="00B477FA">
        <w:t xml:space="preserve"> To Require a Prior Written Agreement for a Work To Be Considered “Made for Hire</w:t>
      </w:r>
      <w:r w:rsidR="00A273A2">
        <w:t>.</w:t>
      </w:r>
      <w:r w:rsidR="00B477FA">
        <w:t>”</w:t>
      </w:r>
    </w:p>
    <w:p w14:paraId="4F6CD959" w14:textId="77777777" w:rsidR="008D1B4C" w:rsidRPr="008D1B4C" w:rsidRDefault="003D51D6" w:rsidP="00B477FA">
      <w:pPr>
        <w:spacing w:line="480" w:lineRule="auto"/>
        <w:ind w:firstLine="720"/>
        <w:jc w:val="both"/>
      </w:pPr>
      <w:r>
        <w:t>Even if the court finds the plain meaning</w:t>
      </w:r>
      <w:r w:rsidR="008D1B4C">
        <w:t xml:space="preserve"> of the stat</w:t>
      </w:r>
      <w:r w:rsidR="00B477FA">
        <w:t xml:space="preserve">ute </w:t>
      </w:r>
      <w:r w:rsidR="00A273A2">
        <w:t>unclear</w:t>
      </w:r>
      <w:r w:rsidR="00B477FA">
        <w:t>, the courts</w:t>
      </w:r>
      <w:r w:rsidR="008D1B4C">
        <w:t xml:space="preserve"> co</w:t>
      </w:r>
      <w:r w:rsidR="00EB13F0">
        <w:t xml:space="preserve">nsider legislative history when </w:t>
      </w:r>
      <w:r w:rsidR="008D1B4C">
        <w:t xml:space="preserve">interpreting the statute.  </w:t>
      </w:r>
      <w:r w:rsidR="00B477FA">
        <w:rPr>
          <w:i/>
        </w:rPr>
        <w:t>Burlington N. R.</w:t>
      </w:r>
      <w:r w:rsidR="00A273A2">
        <w:rPr>
          <w:i/>
        </w:rPr>
        <w:t>R.</w:t>
      </w:r>
      <w:r w:rsidR="00B477FA">
        <w:rPr>
          <w:i/>
        </w:rPr>
        <w:t xml:space="preserve"> Co. v. Okla.</w:t>
      </w:r>
      <w:r w:rsidR="008D1B4C" w:rsidRPr="008D1B4C">
        <w:rPr>
          <w:i/>
        </w:rPr>
        <w:t xml:space="preserve"> Tax </w:t>
      </w:r>
      <w:proofErr w:type="spellStart"/>
      <w:r w:rsidR="008D1B4C" w:rsidRPr="008D1B4C">
        <w:rPr>
          <w:i/>
        </w:rPr>
        <w:t>Comm'n</w:t>
      </w:r>
      <w:proofErr w:type="spellEnd"/>
      <w:r w:rsidR="008D1B4C">
        <w:t>, 481 U.S. 454, 461 (1987).  The legislative history of the Copyright Act of 1976 supports the requirement that a written work</w:t>
      </w:r>
      <w:r w:rsidR="00AB697E">
        <w:t>-for-</w:t>
      </w:r>
      <w:r w:rsidR="008D1B4C">
        <w:t xml:space="preserve">hire </w:t>
      </w:r>
      <w:r w:rsidR="005348D6">
        <w:t>agreement precede the creation of a work.  Congress’</w:t>
      </w:r>
      <w:r w:rsidR="00FD7001">
        <w:t>s</w:t>
      </w:r>
      <w:r w:rsidR="005348D6">
        <w:t xml:space="preserve"> broad goals of predictability, protecting aut</w:t>
      </w:r>
      <w:r w:rsidR="00B477FA">
        <w:t>hors’ rights, and a narrow work-made-for-</w:t>
      </w:r>
      <w:r w:rsidR="005348D6">
        <w:t>hire provision are furthered by such a reading of the statute.  Moreover, the drafter of the legislation specifi</w:t>
      </w:r>
      <w:r w:rsidR="00AB697E">
        <w:t>cally interpreted the work-for-</w:t>
      </w:r>
      <w:r w:rsidR="005348D6">
        <w:t xml:space="preserve">hire provision of the Copyright Act to precede the creation of the work.  </w:t>
      </w:r>
    </w:p>
    <w:p w14:paraId="1DDB12A9" w14:textId="77777777" w:rsidR="00D3288E" w:rsidRDefault="00D3288E" w:rsidP="00550D26">
      <w:pPr>
        <w:pStyle w:val="Heading2"/>
        <w:ind w:left="1440" w:hanging="720"/>
      </w:pPr>
      <w:r>
        <w:t>Congress’</w:t>
      </w:r>
      <w:r w:rsidR="00B32A19">
        <w:t>s</w:t>
      </w:r>
      <w:r>
        <w:t xml:space="preserve"> Goal of Predictability Wou</w:t>
      </w:r>
      <w:r w:rsidR="00AB697E">
        <w:t xml:space="preserve">ld </w:t>
      </w:r>
      <w:proofErr w:type="gramStart"/>
      <w:r w:rsidR="00AB697E">
        <w:t>be</w:t>
      </w:r>
      <w:proofErr w:type="gramEnd"/>
      <w:r w:rsidR="00AB697E">
        <w:t xml:space="preserve"> Undermined if a Work-for-</w:t>
      </w:r>
      <w:r>
        <w:t>Hire Agreement Could be Executed After Creation of a Work</w:t>
      </w:r>
      <w:r w:rsidR="00A273A2">
        <w:t>.</w:t>
      </w:r>
    </w:p>
    <w:p w14:paraId="7867A360" w14:textId="77777777" w:rsidR="00D3288E" w:rsidRDefault="00D3288E" w:rsidP="00D3288E"/>
    <w:p w14:paraId="3AF38CBE" w14:textId="77777777" w:rsidR="00D3288E" w:rsidRDefault="007E5C8D" w:rsidP="00A559C4">
      <w:pPr>
        <w:spacing w:line="480" w:lineRule="auto"/>
        <w:ind w:firstLine="720"/>
        <w:jc w:val="both"/>
      </w:pPr>
      <w:r>
        <w:t xml:space="preserve">Congress intended the </w:t>
      </w:r>
      <w:r w:rsidR="007D0399">
        <w:t>Copyright Act</w:t>
      </w:r>
      <w:r>
        <w:t xml:space="preserve"> of 1976</w:t>
      </w:r>
      <w:r w:rsidR="007D0399">
        <w:t xml:space="preserve"> to replace the old “anachronistic, uncertain, impractical, and highly complicated” system of copyrights with a new regulatory scheme that would provide uniformity and certainty in the copyright marketplace.  H.R. Re</w:t>
      </w:r>
      <w:r>
        <w:t>p. No. 94-1476, at 129 (1976).  The Supreme Court has interpreted Congress’</w:t>
      </w:r>
      <w:r w:rsidR="00FD7001">
        <w:t>s</w:t>
      </w:r>
      <w:r>
        <w:t xml:space="preserve"> “paramount goal” in enacting the Copyright Act was “enhancing predictability and certainty of copyright ownership.  </w:t>
      </w:r>
      <w:proofErr w:type="spellStart"/>
      <w:r w:rsidRPr="00CA2F8F">
        <w:rPr>
          <w:i/>
        </w:rPr>
        <w:t>Cmty</w:t>
      </w:r>
      <w:proofErr w:type="spellEnd"/>
      <w:r w:rsidRPr="00CA2F8F">
        <w:rPr>
          <w:i/>
        </w:rPr>
        <w:t xml:space="preserve">. </w:t>
      </w:r>
      <w:proofErr w:type="gramStart"/>
      <w:r w:rsidRPr="00CA2F8F">
        <w:rPr>
          <w:i/>
        </w:rPr>
        <w:t>for</w:t>
      </w:r>
      <w:proofErr w:type="gramEnd"/>
      <w:r w:rsidRPr="00CA2F8F">
        <w:rPr>
          <w:i/>
        </w:rPr>
        <w:t xml:space="preserve"> Creative Non-</w:t>
      </w:r>
      <w:r>
        <w:rPr>
          <w:i/>
        </w:rPr>
        <w:t>Violence</w:t>
      </w:r>
      <w:r w:rsidR="00B32A19">
        <w:t xml:space="preserve">, 490 U.S. at 749-50; </w:t>
      </w:r>
      <w:r w:rsidR="00B32A19">
        <w:rPr>
          <w:i/>
        </w:rPr>
        <w:t xml:space="preserve">see also </w:t>
      </w:r>
      <w:r w:rsidR="00FD7001">
        <w:rPr>
          <w:i/>
        </w:rPr>
        <w:t>Playboy Enters., Inc. v. Dumas</w:t>
      </w:r>
      <w:r w:rsidR="00FD7001">
        <w:t>, 53 F.3d 549, 559 (2</w:t>
      </w:r>
      <w:r w:rsidR="00FD7001" w:rsidRPr="00FD7001">
        <w:t>nd</w:t>
      </w:r>
      <w:r w:rsidR="00FD7001">
        <w:t xml:space="preserve"> Cir. 1995); </w:t>
      </w:r>
      <w:r w:rsidRPr="00CA2F8F">
        <w:rPr>
          <w:i/>
        </w:rPr>
        <w:t xml:space="preserve">Schiller &amp; Schmidt, Inc. v. </w:t>
      </w:r>
      <w:proofErr w:type="spellStart"/>
      <w:r w:rsidRPr="00CA2F8F">
        <w:rPr>
          <w:i/>
        </w:rPr>
        <w:t>Nordisco</w:t>
      </w:r>
      <w:proofErr w:type="spellEnd"/>
      <w:r w:rsidRPr="00CA2F8F">
        <w:rPr>
          <w:i/>
        </w:rPr>
        <w:t xml:space="preserve"> Corp.</w:t>
      </w:r>
      <w:r>
        <w:t>, 969 F.2d 410, 413 (7th Cir. 1992)</w:t>
      </w:r>
      <w:r w:rsidR="00FD7001">
        <w:t xml:space="preserve">.  </w:t>
      </w:r>
    </w:p>
    <w:p w14:paraId="2C6B1A09" w14:textId="77777777" w:rsidR="007E5C8D" w:rsidRPr="005348D6" w:rsidRDefault="007E5C8D" w:rsidP="00A559C4">
      <w:pPr>
        <w:spacing w:line="480" w:lineRule="auto"/>
        <w:ind w:firstLine="720"/>
        <w:jc w:val="both"/>
      </w:pPr>
      <w:r>
        <w:t>Congress’</w:t>
      </w:r>
      <w:r w:rsidR="00FD7001">
        <w:t>s</w:t>
      </w:r>
      <w:r>
        <w:t xml:space="preserve"> primary copyright goal of predictability is undermined if a </w:t>
      </w:r>
      <w:r w:rsidR="005D4B25">
        <w:t xml:space="preserve">written </w:t>
      </w:r>
      <w:r>
        <w:t>work</w:t>
      </w:r>
      <w:r w:rsidR="00AB697E">
        <w:t>-for-</w:t>
      </w:r>
      <w:r>
        <w:t xml:space="preserve">hire agreement can be </w:t>
      </w:r>
      <w:r w:rsidR="005D4B25">
        <w:t xml:space="preserve">executed after the work is created.  </w:t>
      </w:r>
      <w:r>
        <w:t xml:space="preserve">The goal of predictability in the copyright marketplace is effectuated “through advance planning.”  </w:t>
      </w:r>
      <w:proofErr w:type="spellStart"/>
      <w:r w:rsidRPr="00CA2F8F">
        <w:rPr>
          <w:i/>
        </w:rPr>
        <w:t>Cmty</w:t>
      </w:r>
      <w:proofErr w:type="spellEnd"/>
      <w:r w:rsidRPr="00CA2F8F">
        <w:rPr>
          <w:i/>
        </w:rPr>
        <w:t xml:space="preserve">. </w:t>
      </w:r>
      <w:proofErr w:type="gramStart"/>
      <w:r w:rsidRPr="00CA2F8F">
        <w:rPr>
          <w:i/>
        </w:rPr>
        <w:t>for</w:t>
      </w:r>
      <w:proofErr w:type="gramEnd"/>
      <w:r w:rsidRPr="00CA2F8F">
        <w:rPr>
          <w:i/>
        </w:rPr>
        <w:t xml:space="preserve"> Creative Non-</w:t>
      </w:r>
      <w:r>
        <w:rPr>
          <w:i/>
        </w:rPr>
        <w:t>Violence</w:t>
      </w:r>
      <w:r>
        <w:t xml:space="preserve">, 490 U.S. at </w:t>
      </w:r>
      <w:r w:rsidR="005D4B25">
        <w:t>750.  Advance planning requires parties “</w:t>
      </w:r>
      <w:r w:rsidR="005D4B25">
        <w:rPr>
          <w:i/>
        </w:rPr>
        <w:t>at the outset</w:t>
      </w:r>
      <w:r w:rsidR="005D4B25">
        <w:t xml:space="preserve"> </w:t>
      </w:r>
      <w:r w:rsidR="00A559C4">
        <w:t>[</w:t>
      </w:r>
      <w:r w:rsidR="005D4B25">
        <w:t>to</w:t>
      </w:r>
      <w:r w:rsidR="00A559C4">
        <w:t xml:space="preserve">] </w:t>
      </w:r>
      <w:r w:rsidR="005D4B25">
        <w:t xml:space="preserve">settle on </w:t>
      </w:r>
      <w:r w:rsidR="005D4B25">
        <w:lastRenderedPageBreak/>
        <w:t xml:space="preserve">relevant contractual terms.”  </w:t>
      </w:r>
      <w:r w:rsidR="005D4B25">
        <w:rPr>
          <w:i/>
        </w:rPr>
        <w:t>Id.</w:t>
      </w:r>
      <w:r w:rsidR="005D4B25">
        <w:t xml:space="preserve"> at 749-750 (emphasis added).  This goal of predictability would be frustrated if parties could enter into work</w:t>
      </w:r>
      <w:r w:rsidR="00AB697E">
        <w:t>-for-</w:t>
      </w:r>
      <w:r w:rsidR="005D4B25">
        <w:t xml:space="preserve">hire </w:t>
      </w:r>
      <w:r w:rsidR="009466AC">
        <w:t xml:space="preserve">agreements long after a work was actually created.  </w:t>
      </w:r>
    </w:p>
    <w:p w14:paraId="23D289E9" w14:textId="77777777" w:rsidR="00A559C4" w:rsidRDefault="0044279B" w:rsidP="00A559C4">
      <w:pPr>
        <w:spacing w:line="480" w:lineRule="auto"/>
        <w:ind w:firstLine="720"/>
        <w:jc w:val="both"/>
      </w:pPr>
      <w:r>
        <w:t xml:space="preserve"> </w:t>
      </w:r>
      <w:r w:rsidR="00A559C4">
        <w:t>Congress’</w:t>
      </w:r>
      <w:r w:rsidR="00FD7001">
        <w:t>s</w:t>
      </w:r>
      <w:r w:rsidR="00A559C4">
        <w:t xml:space="preserve"> goal of predictability in copyrights would be undermined if the written agreement between Ms. Lime and Mr.</w:t>
      </w:r>
      <w:r w:rsidR="00AB697E">
        <w:t xml:space="preserve"> Nelson was deemed a valid work-for-</w:t>
      </w:r>
      <w:r w:rsidR="00A559C4">
        <w:t xml:space="preserve">hire agreement.  Such a ruling would create an unpredictable copyright marketplace in which authorship could be transferred on a whim and </w:t>
      </w:r>
      <w:r w:rsidR="000A4CE9">
        <w:t>long after works were created.  The Court should</w:t>
      </w:r>
      <w:r w:rsidR="009928CB">
        <w:t xml:space="preserve"> therefore</w:t>
      </w:r>
      <w:r w:rsidR="000A4CE9">
        <w:t xml:space="preserve"> grant </w:t>
      </w:r>
      <w:r w:rsidR="001375D6">
        <w:t>Defendants’</w:t>
      </w:r>
      <w:r w:rsidR="009928CB">
        <w:t xml:space="preserve"> motion to d</w:t>
      </w:r>
      <w:r w:rsidR="000A4CE9">
        <w:t xml:space="preserve">ismiss in order to preserve copyright predictability. </w:t>
      </w:r>
    </w:p>
    <w:p w14:paraId="5F0183CA" w14:textId="77777777" w:rsidR="0050162D" w:rsidRDefault="0050162D" w:rsidP="00550D26">
      <w:pPr>
        <w:pStyle w:val="Heading2"/>
        <w:ind w:left="1440" w:hanging="720"/>
        <w:rPr>
          <w:b w:val="0"/>
        </w:rPr>
      </w:pPr>
      <w:r>
        <w:t>The Copyright Act had the Primary Intention of Protecting the Rights of Authors</w:t>
      </w:r>
      <w:r w:rsidR="00E20999">
        <w:t>.</w:t>
      </w:r>
    </w:p>
    <w:p w14:paraId="5829B58C" w14:textId="77777777" w:rsidR="0050162D" w:rsidRDefault="0050162D" w:rsidP="0050162D"/>
    <w:p w14:paraId="53269B8B" w14:textId="77777777" w:rsidR="0050162D" w:rsidRDefault="0050162D" w:rsidP="000A4CE9">
      <w:pPr>
        <w:spacing w:line="480" w:lineRule="auto"/>
        <w:ind w:firstLine="720"/>
        <w:jc w:val="both"/>
      </w:pPr>
      <w:r>
        <w:t xml:space="preserve">In enacting the Copyright Act of 1976, Congress </w:t>
      </w:r>
      <w:r w:rsidR="00FD7001">
        <w:t>intended authors to be</w:t>
      </w:r>
      <w:r>
        <w:t xml:space="preserve"> the ultimate beneficiaries</w:t>
      </w:r>
      <w:r w:rsidR="00652CB7">
        <w:t xml:space="preserve"> of United States copyright law consistent with the Constitution</w:t>
      </w:r>
      <w:r>
        <w:t xml:space="preserve">.  H.R. Rep. No. 94-1476 at 140.  </w:t>
      </w:r>
      <w:r w:rsidR="00A13B03">
        <w:t xml:space="preserve">The Constitution </w:t>
      </w:r>
      <w:r w:rsidR="00FD7001">
        <w:t>mandates</w:t>
      </w:r>
      <w:r w:rsidR="00A13B03">
        <w:t xml:space="preserve"> that Congress “promote the Progress of Science and the useful Arts, by securing for limited Times to Authors and Inventors the exclusive Right to their respective Writings and Discoveri</w:t>
      </w:r>
      <w:r w:rsidR="005C5283">
        <w:t xml:space="preserve">es.”  </w:t>
      </w:r>
      <w:proofErr w:type="gramStart"/>
      <w:r w:rsidR="005C5283">
        <w:t>U.S. Const. art.</w:t>
      </w:r>
      <w:proofErr w:type="gramEnd"/>
      <w:r w:rsidR="005C5283">
        <w:t xml:space="preserve"> </w:t>
      </w:r>
      <w:proofErr w:type="gramStart"/>
      <w:r w:rsidR="005C5283">
        <w:t>I, § 8.</w:t>
      </w:r>
      <w:proofErr w:type="gramEnd"/>
      <w:r w:rsidR="005C5283">
        <w:t xml:space="preserve">  </w:t>
      </w:r>
      <w:r w:rsidR="00A13B03">
        <w:t>The Register of Copyrights</w:t>
      </w:r>
      <w:r w:rsidR="00652CB7">
        <w:t xml:space="preserve"> echoed this commitment and declared</w:t>
      </w:r>
      <w:r w:rsidR="00A13B03">
        <w:t xml:space="preserve"> that the Copyright Act should state author’s rights “in broad terms.”  </w:t>
      </w:r>
      <w:r w:rsidR="00A17EDA">
        <w:t>Staff of H. Comm. on the Judiciary</w:t>
      </w:r>
      <w:r w:rsidR="001F6123" w:rsidRPr="00883D5B">
        <w:t>,</w:t>
      </w:r>
      <w:r w:rsidR="00A17EDA">
        <w:t xml:space="preserve"> 89th Cong., Supp. Rep.</w:t>
      </w:r>
      <w:r w:rsidR="001F6123" w:rsidRPr="00883D5B">
        <w:t xml:space="preserve"> on the General </w:t>
      </w:r>
      <w:r w:rsidR="00A17EDA" w:rsidRPr="00883D5B">
        <w:t>Revision</w:t>
      </w:r>
      <w:r w:rsidR="001F6123" w:rsidRPr="00883D5B">
        <w:t xml:space="preserve"> of</w:t>
      </w:r>
      <w:r w:rsidR="00A17EDA">
        <w:t xml:space="preserve"> the U.S. Copyright Law</w:t>
      </w:r>
      <w:r w:rsidR="001F6123" w:rsidRPr="00883D5B">
        <w:t xml:space="preserve"> 18</w:t>
      </w:r>
      <w:r w:rsidR="00A17EDA">
        <w:t xml:space="preserve"> (Comm. Print 1950) (Register of Copyrights)</w:t>
      </w:r>
      <w:r w:rsidR="001F6123" w:rsidRPr="00883D5B">
        <w:t xml:space="preserve"> </w:t>
      </w:r>
      <w:r w:rsidR="00652CB7" w:rsidRPr="00883D5B">
        <w:t>[hereinafter Register’s Report]</w:t>
      </w:r>
      <w:r w:rsidR="00A13B03" w:rsidRPr="00883D5B">
        <w:t>.</w:t>
      </w:r>
      <w:r w:rsidR="00A13B03">
        <w:t xml:space="preserve">  </w:t>
      </w:r>
      <w:r w:rsidR="00652CB7">
        <w:t>The courts have</w:t>
      </w:r>
      <w:r w:rsidR="00A13B03">
        <w:t xml:space="preserve"> similarly recognized this</w:t>
      </w:r>
      <w:r w:rsidR="005C5283">
        <w:t xml:space="preserve"> Congressional</w:t>
      </w:r>
      <w:r w:rsidR="00A13B03">
        <w:t xml:space="preserve"> intent.  </w:t>
      </w:r>
      <w:r w:rsidR="00A13B03" w:rsidRPr="0064454C">
        <w:rPr>
          <w:i/>
        </w:rPr>
        <w:t>S.O.S., Inc. v. Payday, Inc.</w:t>
      </w:r>
      <w:r w:rsidR="00A13B03">
        <w:t xml:space="preserve">, 886 F.2d 1081, 1088 (9th Cir. 1989) (“Chief among these purposes [of federal copyright law] is the protection of the author's rights”); </w:t>
      </w:r>
      <w:proofErr w:type="spellStart"/>
      <w:r w:rsidR="005235EE" w:rsidRPr="001758ED">
        <w:rPr>
          <w:i/>
        </w:rPr>
        <w:t>Jondora</w:t>
      </w:r>
      <w:proofErr w:type="spellEnd"/>
      <w:r w:rsidR="005235EE" w:rsidRPr="001758ED">
        <w:rPr>
          <w:i/>
        </w:rPr>
        <w:t xml:space="preserve"> Music Pub. Co. v. Melody Recordings, Inc.</w:t>
      </w:r>
      <w:r w:rsidR="005235EE">
        <w:t xml:space="preserve">, 506 F.2d 392, 395 (3d Cir. 1974) (“The copyright law is enacted for the benefit of the composer...”); </w:t>
      </w:r>
      <w:r w:rsidR="00A13B03" w:rsidRPr="001758ED">
        <w:rPr>
          <w:i/>
        </w:rPr>
        <w:t>Scott v. WKJG, Inc.</w:t>
      </w:r>
      <w:r w:rsidR="00A13B03">
        <w:t xml:space="preserve">, 376 F.2d 467, 469 (7th Cir. 1967) (“A copyright is intended </w:t>
      </w:r>
      <w:r w:rsidR="00A13B03">
        <w:lastRenderedPageBreak/>
        <w:t>to protect authorship. The essence of a copyright protection is the protection of originality rather than novelty or invention.”</w:t>
      </w:r>
      <w:r w:rsidR="005C5283">
        <w:t>).</w:t>
      </w:r>
    </w:p>
    <w:p w14:paraId="0B29FB9E" w14:textId="77777777" w:rsidR="005235EE" w:rsidRDefault="00AB697E" w:rsidP="000A4CE9">
      <w:pPr>
        <w:spacing w:line="480" w:lineRule="auto"/>
        <w:ind w:firstLine="720"/>
        <w:jc w:val="both"/>
      </w:pPr>
      <w:r>
        <w:t>Requiring a work-for-</w:t>
      </w:r>
      <w:r w:rsidR="005C5283">
        <w:t>hire agreement to precede the creation of the work would further Congress’</w:t>
      </w:r>
      <w:r w:rsidR="00FD7001">
        <w:t>s</w:t>
      </w:r>
      <w:r w:rsidR="005C5283">
        <w:t xml:space="preserve"> constitutionally supported intent to protect the rights of authors in copyright law.</w:t>
      </w:r>
      <w:r w:rsidR="009928CB">
        <w:t xml:space="preserve">  Requiring a pre-creation writing protects authors because it ensures all rights to be negotiated at the outset.</w:t>
      </w:r>
      <w:r w:rsidR="005C5283">
        <w:t xml:space="preserve">  Therefore, the Court should dismiss the Plaintiff’s complaint and hold the written agreement invalid. </w:t>
      </w:r>
    </w:p>
    <w:p w14:paraId="64A680E3" w14:textId="77777777" w:rsidR="005348D6" w:rsidRDefault="00AB697E" w:rsidP="00550D26">
      <w:pPr>
        <w:pStyle w:val="Heading2"/>
        <w:ind w:left="1440" w:hanging="720"/>
        <w:rPr>
          <w:b w:val="0"/>
        </w:rPr>
      </w:pPr>
      <w:r>
        <w:t>Congress Intended the Work-for-</w:t>
      </w:r>
      <w:r w:rsidR="005348D6">
        <w:t xml:space="preserve">Hire Provision of the Copyright Act </w:t>
      </w:r>
      <w:r w:rsidR="00DC2D58">
        <w:t xml:space="preserve">to </w:t>
      </w:r>
      <w:r w:rsidR="005348D6">
        <w:t>be Interpreted Narrowly</w:t>
      </w:r>
      <w:r w:rsidR="009928CB">
        <w:t>.</w:t>
      </w:r>
    </w:p>
    <w:p w14:paraId="62AB6FE9" w14:textId="77777777" w:rsidR="005348D6" w:rsidRPr="009466AC" w:rsidRDefault="005348D6" w:rsidP="005348D6"/>
    <w:p w14:paraId="65F1299D" w14:textId="77777777" w:rsidR="005348D6" w:rsidRDefault="00DC2D58" w:rsidP="005348D6">
      <w:pPr>
        <w:spacing w:line="480" w:lineRule="auto"/>
        <w:ind w:firstLine="720"/>
        <w:jc w:val="both"/>
      </w:pPr>
      <w:r>
        <w:t xml:space="preserve">The work-for-hire provision should be interpreted narrowly because of Congress’s reluctance to include the provision in the Copyright Act.  </w:t>
      </w:r>
      <w:r w:rsidR="005348D6">
        <w:t>The pre</w:t>
      </w:r>
      <w:r w:rsidR="00AB697E">
        <w:t>liminary draft of the work-for-</w:t>
      </w:r>
      <w:r w:rsidR="005348D6">
        <w:t>hire provision in 19</w:t>
      </w:r>
      <w:r w:rsidR="00DE4968">
        <w:t xml:space="preserve">63 specifically excluded a work made </w:t>
      </w:r>
      <w:r w:rsidR="005348D6">
        <w:t xml:space="preserve">for hire on commission or special order.  </w:t>
      </w:r>
      <w:r w:rsidR="00652CB7">
        <w:t xml:space="preserve">Register’s Report at 66.  </w:t>
      </w:r>
      <w:r w:rsidR="005348D6">
        <w:t xml:space="preserve">Book publishers opposed this exclusion and artists fought against broad language that would reduce their already weak bargain positions.  </w:t>
      </w:r>
      <w:r w:rsidR="005348D6">
        <w:rPr>
          <w:i/>
        </w:rPr>
        <w:t>Id.</w:t>
      </w:r>
      <w:r w:rsidR="005348D6">
        <w:t>; H.R. Rep. No</w:t>
      </w:r>
      <w:r w:rsidR="005348D6" w:rsidRPr="00A867E2">
        <w:t xml:space="preserve">. </w:t>
      </w:r>
      <w:r w:rsidR="005348D6">
        <w:t>90-83</w:t>
      </w:r>
      <w:r>
        <w:t>,</w:t>
      </w:r>
      <w:r w:rsidR="005348D6">
        <w:t xml:space="preserve"> at </w:t>
      </w:r>
      <w:r w:rsidR="005348D6" w:rsidRPr="00A867E2">
        <w:t xml:space="preserve">86 </w:t>
      </w:r>
      <w:r w:rsidR="005348D6">
        <w:t>(1967).  The current works made for hire provision is the result of a compromise between these two groups which lists “specific categories” that are works made for hire “under certain circumstances.”  S. Rep. 94-473 at 105 (1976); H.R. Rep. No</w:t>
      </w:r>
      <w:r w:rsidR="005348D6" w:rsidRPr="00DD2DC3">
        <w:t xml:space="preserve">. </w:t>
      </w:r>
      <w:r w:rsidR="005348D6">
        <w:t xml:space="preserve">94-1476 at 121 (1976).  </w:t>
      </w:r>
    </w:p>
    <w:p w14:paraId="6FD6626B" w14:textId="77777777" w:rsidR="002331DF" w:rsidRDefault="005348D6" w:rsidP="002331DF">
      <w:pPr>
        <w:spacing w:line="480" w:lineRule="auto"/>
        <w:ind w:firstLine="720"/>
        <w:jc w:val="both"/>
      </w:pPr>
      <w:r>
        <w:t>This legislative history supports M</w:t>
      </w:r>
      <w:r w:rsidR="00AB697E">
        <w:t>s. Lime’s position that a work-for-</w:t>
      </w:r>
      <w:r>
        <w:t>hire written agreement cannot postdate the creation of the work.  In holding the agreement valid, the Court woul</w:t>
      </w:r>
      <w:r w:rsidR="00AB697E">
        <w:t>d be interpreting the work-for-</w:t>
      </w:r>
      <w:r w:rsidR="00DC2D58">
        <w:t>hire provision very broadly by expanding</w:t>
      </w:r>
      <w:r>
        <w:t xml:space="preserve"> one of the provision</w:t>
      </w:r>
      <w:r w:rsidR="00DC2D58">
        <w:t>’</w:t>
      </w:r>
      <w:r>
        <w:t xml:space="preserve">s most important “circumstances,” the restriction on the </w:t>
      </w:r>
      <w:r w:rsidR="00242B31">
        <w:t xml:space="preserve">time of the written agreement.  </w:t>
      </w:r>
      <w:r>
        <w:t xml:space="preserve">The Court should dismiss the Plaintiff’s broad interpretation of this narrow provision.  </w:t>
      </w:r>
    </w:p>
    <w:p w14:paraId="0E8AA2C7" w14:textId="77777777" w:rsidR="002331DF" w:rsidRDefault="002331DF" w:rsidP="002331DF">
      <w:pPr>
        <w:spacing w:line="480" w:lineRule="auto"/>
        <w:ind w:firstLine="720"/>
        <w:jc w:val="both"/>
      </w:pPr>
    </w:p>
    <w:p w14:paraId="7793622A" w14:textId="77777777" w:rsidR="002331DF" w:rsidRDefault="002331DF" w:rsidP="002331DF">
      <w:pPr>
        <w:spacing w:line="480" w:lineRule="auto"/>
        <w:ind w:firstLine="720"/>
        <w:jc w:val="both"/>
      </w:pPr>
    </w:p>
    <w:p w14:paraId="6C29D619" w14:textId="77777777" w:rsidR="002050D0" w:rsidRDefault="003F4014" w:rsidP="00550D26">
      <w:pPr>
        <w:pStyle w:val="Heading2"/>
        <w:ind w:left="1440" w:hanging="720"/>
      </w:pPr>
      <w:r>
        <w:t>The Drafter’s Comments</w:t>
      </w:r>
      <w:r w:rsidR="002050D0">
        <w:t xml:space="preserve"> Compels the Requirement of a Prior </w:t>
      </w:r>
      <w:r w:rsidR="00AB697E">
        <w:t>Written Agreement for Works Made for Hire</w:t>
      </w:r>
      <w:r w:rsidR="00DC2D58">
        <w:t>.</w:t>
      </w:r>
    </w:p>
    <w:p w14:paraId="1C076C34" w14:textId="77777777" w:rsidR="002050D0" w:rsidRDefault="002050D0" w:rsidP="002050D0"/>
    <w:p w14:paraId="63CEC8C0" w14:textId="77777777" w:rsidR="002050D0" w:rsidRDefault="00812C7A" w:rsidP="002A67AF">
      <w:pPr>
        <w:spacing w:line="480" w:lineRule="auto"/>
        <w:ind w:firstLine="720"/>
      </w:pPr>
      <w:r>
        <w:t xml:space="preserve">The author of the work-for-hire provisions in the Copyright Act clearly expressed a written agreement must precede the creation of the work.  </w:t>
      </w:r>
      <w:r w:rsidR="002A67AF">
        <w:t>In a meeting of interested parties o</w:t>
      </w:r>
      <w:r w:rsidR="001F6123">
        <w:t>n the Copyright Act of 1976 published by the House Judiciary Committee</w:t>
      </w:r>
      <w:r w:rsidR="002A67AF">
        <w:t xml:space="preserve">, </w:t>
      </w:r>
      <w:r w:rsidR="00262FE6">
        <w:t xml:space="preserve">Assistant Register of Copyrights Barbara Ringer, </w:t>
      </w:r>
      <w:r w:rsidR="001F6123">
        <w:t xml:space="preserve">the primary drafter of the 1964 preliminary version </w:t>
      </w:r>
      <w:r w:rsidR="002A67AF">
        <w:t>of the Copyright Act</w:t>
      </w:r>
      <w:r w:rsidR="002D4DA8">
        <w:t>,</w:t>
      </w:r>
      <w:r w:rsidR="00A20F5B">
        <w:t xml:space="preserve"> stated</w:t>
      </w:r>
      <w:r w:rsidR="002D4DA8">
        <w:t>:</w:t>
      </w:r>
    </w:p>
    <w:p w14:paraId="0EF860FE" w14:textId="77777777" w:rsidR="00A20F5B" w:rsidRDefault="00A20F5B" w:rsidP="002D4DA8">
      <w:pPr>
        <w:ind w:left="720" w:right="720"/>
        <w:jc w:val="both"/>
      </w:pPr>
      <w:r>
        <w:t>I would point out that it has to</w:t>
      </w:r>
      <w:r w:rsidR="00834CBC">
        <w:t xml:space="preserve"> be a “</w:t>
      </w:r>
      <w:r>
        <w:t>work prepared</w:t>
      </w:r>
      <w:r w:rsidR="00834CBC">
        <w:t xml:space="preserve"> on special order or commission”</w:t>
      </w:r>
      <w:r>
        <w:t xml:space="preserve"> in the first place. </w:t>
      </w:r>
      <w:r w:rsidR="00834CBC">
        <w:rPr>
          <w:i/>
        </w:rPr>
        <w:t>It would not be considered a “work made for hire”</w:t>
      </w:r>
      <w:r w:rsidRPr="00A20F5B">
        <w:rPr>
          <w:i/>
        </w:rPr>
        <w:t xml:space="preserve"> if the contract were signed later on-after the work was written</w:t>
      </w:r>
      <w:r>
        <w:t>, for example.  Moreover, and I think this was the basic reason for our acceptance of this compromise, at least there has to be a specific provision in the contract spelling this out.</w:t>
      </w:r>
    </w:p>
    <w:p w14:paraId="69ADB1AF" w14:textId="77777777" w:rsidR="00166802" w:rsidRDefault="00166802" w:rsidP="00166802">
      <w:pPr>
        <w:ind w:right="720"/>
        <w:jc w:val="both"/>
      </w:pPr>
    </w:p>
    <w:p w14:paraId="4786765E" w14:textId="77777777" w:rsidR="00A20F5B" w:rsidRDefault="00A17EDA" w:rsidP="00A20F5B">
      <w:pPr>
        <w:spacing w:line="480" w:lineRule="auto"/>
        <w:jc w:val="both"/>
      </w:pPr>
      <w:r>
        <w:t>Staff of H. Comm. on the Judiciary, 89</w:t>
      </w:r>
      <w:r w:rsidRPr="00A17EDA">
        <w:t>th</w:t>
      </w:r>
      <w:r>
        <w:t xml:space="preserve"> Cong., </w:t>
      </w:r>
      <w:r w:rsidR="00F30FEF">
        <w:t>Copyright Law Revision Part 5: 1964 Revision Bill with Discussions and Comments 145 (Comm. Print 1965)</w:t>
      </w:r>
      <w:r w:rsidR="001F6123">
        <w:t xml:space="preserve"> </w:t>
      </w:r>
      <w:r w:rsidR="002D4DA8">
        <w:t>(emphasis added)</w:t>
      </w:r>
      <w:r w:rsidR="00F30FEF">
        <w:t xml:space="preserve"> [hereinafter Revision Bill]</w:t>
      </w:r>
      <w:r w:rsidR="00A20F5B">
        <w:t xml:space="preserve">.  This statement was not contested during the meeting.  </w:t>
      </w:r>
      <w:r w:rsidR="00F30FEF">
        <w:rPr>
          <w:i/>
        </w:rPr>
        <w:t>Id.</w:t>
      </w:r>
      <w:r w:rsidR="00F30FEF">
        <w:t xml:space="preserve"> at 145-209.  </w:t>
      </w:r>
      <w:r w:rsidR="00166802">
        <w:t>T</w:t>
      </w:r>
      <w:r w:rsidR="00A20F5B">
        <w:t xml:space="preserve">he language </w:t>
      </w:r>
      <w:r w:rsidR="00AB697E">
        <w:t>of the work-for-</w:t>
      </w:r>
      <w:r w:rsidR="00834CBC">
        <w:t>hire provision has</w:t>
      </w:r>
      <w:r w:rsidR="00A20F5B">
        <w:t xml:space="preserve"> stayed constant from </w:t>
      </w:r>
      <w:r w:rsidR="00834CBC">
        <w:t>since 1964</w:t>
      </w:r>
      <w:r w:rsidR="00A20F5B">
        <w:t xml:space="preserve">. </w:t>
      </w:r>
      <w:r w:rsidR="00A20F5B">
        <w:rPr>
          <w:i/>
        </w:rPr>
        <w:t>Compare</w:t>
      </w:r>
      <w:r w:rsidR="00A20F5B">
        <w:t xml:space="preserve"> </w:t>
      </w:r>
      <w:r w:rsidR="00F30FEF">
        <w:rPr>
          <w:i/>
        </w:rPr>
        <w:t>i</w:t>
      </w:r>
      <w:r w:rsidR="00A20F5B">
        <w:rPr>
          <w:i/>
        </w:rPr>
        <w:t xml:space="preserve">d. </w:t>
      </w:r>
      <w:r w:rsidR="00A20F5B">
        <w:t xml:space="preserve">at 39 </w:t>
      </w:r>
      <w:r w:rsidR="00A20F5B">
        <w:rPr>
          <w:i/>
        </w:rPr>
        <w:t>with</w:t>
      </w:r>
      <w:r w:rsidR="00A20F5B">
        <w:t xml:space="preserve"> 17 U.S.C. § 101(2).  </w:t>
      </w:r>
    </w:p>
    <w:p w14:paraId="0C77CE4A" w14:textId="77777777" w:rsidR="00834CBC" w:rsidRDefault="00A20F5B" w:rsidP="00A20F5B">
      <w:pPr>
        <w:spacing w:line="480" w:lineRule="auto"/>
        <w:jc w:val="both"/>
      </w:pPr>
      <w:r>
        <w:tab/>
        <w:t xml:space="preserve">The statement by </w:t>
      </w:r>
      <w:r w:rsidR="00F30FEF">
        <w:t>Ms.</w:t>
      </w:r>
      <w:r>
        <w:t xml:space="preserve"> Ringer should be accorded great weight.  The Copyright Act resulted fro</w:t>
      </w:r>
      <w:r w:rsidR="00F30FEF">
        <w:t>m twenty</w:t>
      </w:r>
      <w:r w:rsidR="000E4DA7">
        <w:t xml:space="preserve"> years of negotiations by the representatives of authors and the copyright industries which </w:t>
      </w:r>
      <w:r w:rsidR="005C5283">
        <w:t>were</w:t>
      </w:r>
      <w:r w:rsidR="000E4DA7">
        <w:t xml:space="preserve"> “supervised by the Copyright Office and, to a lesser extent, by Congress.”  </w:t>
      </w:r>
      <w:proofErr w:type="spellStart"/>
      <w:r w:rsidR="000E4DA7">
        <w:rPr>
          <w:i/>
        </w:rPr>
        <w:t>Cmty</w:t>
      </w:r>
      <w:proofErr w:type="spellEnd"/>
      <w:r w:rsidR="000E4DA7">
        <w:rPr>
          <w:i/>
        </w:rPr>
        <w:t xml:space="preserve">. </w:t>
      </w:r>
      <w:proofErr w:type="gramStart"/>
      <w:r w:rsidR="000E4DA7">
        <w:rPr>
          <w:i/>
        </w:rPr>
        <w:t>for</w:t>
      </w:r>
      <w:proofErr w:type="gramEnd"/>
      <w:r w:rsidR="000E4DA7">
        <w:rPr>
          <w:i/>
        </w:rPr>
        <w:t xml:space="preserve"> Creative Non-Violence</w:t>
      </w:r>
      <w:r w:rsidR="000E4DA7">
        <w:t>, 490 U.S.</w:t>
      </w:r>
      <w:r w:rsidR="00F30FEF">
        <w:t xml:space="preserve"> at</w:t>
      </w:r>
      <w:r w:rsidR="00166802">
        <w:t xml:space="preserve"> 743.</w:t>
      </w:r>
      <w:r w:rsidR="003112E7">
        <w:t xml:space="preserve">    </w:t>
      </w:r>
      <w:r w:rsidR="004B295E">
        <w:t xml:space="preserve">The Chairman of the Committee on the Judiciary acknowledged that the above quoted report “served as the basis for preparation of the bill.”  </w:t>
      </w:r>
      <w:r w:rsidR="00842639">
        <w:t>Revision Bill</w:t>
      </w:r>
      <w:r w:rsidR="004B295E">
        <w:t xml:space="preserve"> at iii.  Moreover, the Supreme Court recognizes that the drafter’s comments on a bill are of significance because they might have formed the basis of legislative intent.</w:t>
      </w:r>
      <w:r w:rsidR="00834CBC">
        <w:t xml:space="preserve">  </w:t>
      </w:r>
      <w:proofErr w:type="spellStart"/>
      <w:r w:rsidR="004B295E" w:rsidRPr="004B295E">
        <w:rPr>
          <w:i/>
        </w:rPr>
        <w:lastRenderedPageBreak/>
        <w:t>Kosak</w:t>
      </w:r>
      <w:proofErr w:type="spellEnd"/>
      <w:r w:rsidR="004B295E" w:rsidRPr="004B295E">
        <w:rPr>
          <w:i/>
        </w:rPr>
        <w:t xml:space="preserve"> v. United States</w:t>
      </w:r>
      <w:r w:rsidR="004B295E" w:rsidRPr="004B295E">
        <w:t>, 465 U.S. 848, 856-57 (1984)</w:t>
      </w:r>
      <w:r w:rsidR="004B295E">
        <w:t xml:space="preserve"> (holding that a drafter’s report</w:t>
      </w:r>
      <w:r w:rsidR="00611C86">
        <w:t xml:space="preserve">, even </w:t>
      </w:r>
      <w:r w:rsidR="00812C7A">
        <w:t xml:space="preserve">if </w:t>
      </w:r>
      <w:r w:rsidR="004B295E">
        <w:t xml:space="preserve">not in the public record should be given weight).  </w:t>
      </w:r>
    </w:p>
    <w:p w14:paraId="6B31B410" w14:textId="77777777" w:rsidR="005C5283" w:rsidRDefault="003F4014" w:rsidP="00A20F5B">
      <w:pPr>
        <w:spacing w:line="480" w:lineRule="auto"/>
        <w:jc w:val="both"/>
      </w:pPr>
      <w:r>
        <w:tab/>
        <w:t>The requirement that Ms. Lim</w:t>
      </w:r>
      <w:r w:rsidR="00AB697E">
        <w:t>e and Mr. Nelson’s written work-for-</w:t>
      </w:r>
      <w:r>
        <w:t>hire agreement precede the creation of the screenplay is supported by the comments of the drafter of the legislative language.  Thus, a ruling in favor of Ms. Lime’s motion to dismiss supports the specific legislative history on the question at hand.</w:t>
      </w:r>
    </w:p>
    <w:p w14:paraId="6CD5B914" w14:textId="77777777" w:rsidR="00613C9A" w:rsidRDefault="00834CBC" w:rsidP="00550D26">
      <w:pPr>
        <w:pStyle w:val="Heading1"/>
        <w:spacing w:before="120" w:beforeAutospacing="0"/>
        <w:ind w:left="720" w:hanging="720"/>
      </w:pPr>
      <w:r>
        <w:t xml:space="preserve">Public Policy Demands that A Written </w:t>
      </w:r>
      <w:r w:rsidR="00DE4968">
        <w:t>Work-for-</w:t>
      </w:r>
      <w:r w:rsidR="003F4014">
        <w:t>Hire Agreement Precedes</w:t>
      </w:r>
      <w:r>
        <w:t xml:space="preserve"> the Creation the Work</w:t>
      </w:r>
      <w:r w:rsidR="00E20999">
        <w:t>.</w:t>
      </w:r>
    </w:p>
    <w:p w14:paraId="5E2A2A6D" w14:textId="77777777" w:rsidR="00611C86" w:rsidRDefault="00E20999" w:rsidP="003F4014">
      <w:pPr>
        <w:spacing w:line="480" w:lineRule="auto"/>
        <w:ind w:firstLine="720"/>
        <w:jc w:val="both"/>
      </w:pPr>
      <w:r>
        <w:t xml:space="preserve">A written agreement should precede the creation of the work in order to preserve author’s already limited bargaining power.  </w:t>
      </w:r>
      <w:r w:rsidR="00611C86" w:rsidRPr="003F4014">
        <w:t xml:space="preserve">In drafting the Copyright Act, Congress recognized that authors are in an “unequal bargaining position” as a result of “the impossibility of determining a work’s value until it has been exploited.”  H.R. Rep. No. 94-1476 at 124.  The Supreme Court has echoed this public policy argument holding that the Copyright Act was intended to protect authors against signing away their rights before they “had a fair opportunity to appreciate the true value of [their] work product.”  </w:t>
      </w:r>
      <w:r w:rsidR="00611C86" w:rsidRPr="003F4014">
        <w:rPr>
          <w:i/>
        </w:rPr>
        <w:t>Mills Music, Inc. v. Snyder</w:t>
      </w:r>
      <w:r w:rsidR="00611C86" w:rsidRPr="003F4014">
        <w:t>, 469 U.S. 153, 172-73 (1985).</w:t>
      </w:r>
      <w:r w:rsidR="009C14AB">
        <w:t xml:space="preserve">  </w:t>
      </w:r>
    </w:p>
    <w:p w14:paraId="12AA82AC" w14:textId="77777777" w:rsidR="003F4014" w:rsidRDefault="00613C9A" w:rsidP="00611C86">
      <w:pPr>
        <w:spacing w:line="480" w:lineRule="auto"/>
        <w:ind w:firstLine="720"/>
        <w:jc w:val="both"/>
      </w:pPr>
      <w:r w:rsidRPr="003F4014">
        <w:t>A</w:t>
      </w:r>
      <w:r w:rsidR="00AB697E">
        <w:t>llowing the work-for-</w:t>
      </w:r>
      <w:r w:rsidR="00834CBC" w:rsidRPr="003F4014">
        <w:t xml:space="preserve">hire provision of § </w:t>
      </w:r>
      <w:r w:rsidRPr="003F4014">
        <w:t xml:space="preserve">101(2) to follow the creation </w:t>
      </w:r>
      <w:r w:rsidR="00834CBC" w:rsidRPr="003F4014">
        <w:t>of a work would enhance producer and publisher’s bargaining po</w:t>
      </w:r>
      <w:r w:rsidR="00EF1857" w:rsidRPr="003F4014">
        <w:t xml:space="preserve">wer at the expense of authors.  </w:t>
      </w:r>
      <w:r w:rsidR="00611C86">
        <w:t>If</w:t>
      </w:r>
      <w:r w:rsidR="00546805">
        <w:t xml:space="preserve"> </w:t>
      </w:r>
      <w:r w:rsidR="00611C86">
        <w:t>parties could sign written agreements after</w:t>
      </w:r>
      <w:r w:rsidR="00546805">
        <w:t xml:space="preserve"> the creation of the work </w:t>
      </w:r>
      <w:r w:rsidR="00611C86">
        <w:t>the power of the original negotiated terms of the contract would be diluted</w:t>
      </w:r>
      <w:r w:rsidR="00546805">
        <w:t xml:space="preserve">.  </w:t>
      </w:r>
      <w:r w:rsidR="00AB697E">
        <w:t>If a work-for-</w:t>
      </w:r>
      <w:r w:rsidR="00EF1857" w:rsidRPr="003F4014">
        <w:t xml:space="preserve">hire agreement could be </w:t>
      </w:r>
      <w:r w:rsidR="003F4014" w:rsidRPr="003F4014">
        <w:t>demanded by a publisher or producer</w:t>
      </w:r>
      <w:r w:rsidR="00EF1857" w:rsidRPr="003F4014">
        <w:t xml:space="preserve"> after the work was created it would force the author into </w:t>
      </w:r>
      <w:r w:rsidR="003F4014" w:rsidRPr="003F4014">
        <w:t xml:space="preserve">accepting the agreement </w:t>
      </w:r>
      <w:r w:rsidR="00EF1857" w:rsidRPr="003F4014">
        <w:t xml:space="preserve">due to the “time, effort, and money…already expended.”  Marci A. Hamilton, Comment, </w:t>
      </w:r>
      <w:r w:rsidR="00611C86">
        <w:rPr>
          <w:i/>
        </w:rPr>
        <w:t>Commissioned Works a</w:t>
      </w:r>
      <w:r w:rsidR="00EF1857" w:rsidRPr="003F4014">
        <w:rPr>
          <w:i/>
        </w:rPr>
        <w:t>s Works Made for Hire Under the 1976 Copyright Act: Misinterpretation and Injustice</w:t>
      </w:r>
      <w:r w:rsidR="00EF1857" w:rsidRPr="003F4014">
        <w:t>, 135 U. Pa. L. Rev. 1281, 1310-11 (1987).</w:t>
      </w:r>
      <w:r w:rsidR="00546805">
        <w:t xml:space="preserve">    </w:t>
      </w:r>
    </w:p>
    <w:p w14:paraId="3263C99E" w14:textId="77777777" w:rsidR="002331DF" w:rsidRPr="00812C7A" w:rsidRDefault="00546805" w:rsidP="00812C7A">
      <w:pPr>
        <w:spacing w:line="480" w:lineRule="auto"/>
        <w:ind w:firstLine="720"/>
        <w:jc w:val="both"/>
      </w:pPr>
      <w:r>
        <w:lastRenderedPageBreak/>
        <w:t xml:space="preserve">In ruling in favor of </w:t>
      </w:r>
      <w:r w:rsidR="001375D6">
        <w:t>Defendants’</w:t>
      </w:r>
      <w:r>
        <w:t xml:space="preserve"> Motion to Dismiss, the Court would be ruling in favor </w:t>
      </w:r>
      <w:r w:rsidR="00AB697E">
        <w:t>of the policy that written work-for-</w:t>
      </w:r>
      <w:r>
        <w:t xml:space="preserve">hire agreements should not exploit authors at the expense of publishers or producers.  </w:t>
      </w:r>
    </w:p>
    <w:p w14:paraId="393A70AA" w14:textId="77777777" w:rsidR="00546805" w:rsidRDefault="00546805" w:rsidP="00546805">
      <w:pPr>
        <w:spacing w:line="480" w:lineRule="auto"/>
        <w:jc w:val="center"/>
      </w:pPr>
      <w:r>
        <w:rPr>
          <w:b/>
          <w:u w:val="single"/>
        </w:rPr>
        <w:t>CONCLUSION</w:t>
      </w:r>
    </w:p>
    <w:p w14:paraId="1201016D" w14:textId="77777777" w:rsidR="00611C86" w:rsidRDefault="00546805" w:rsidP="00611C86">
      <w:pPr>
        <w:spacing w:line="480" w:lineRule="auto"/>
        <w:jc w:val="both"/>
      </w:pPr>
      <w:r>
        <w:tab/>
      </w:r>
      <w:r w:rsidR="008C0855">
        <w:t xml:space="preserve">There are three reasons </w:t>
      </w:r>
      <w:r w:rsidR="00611C86">
        <w:t>the Court should interpret the work-made-for-hire provisions in the Copyright Act as requiring a signed written agreement to precede the creation of the work</w:t>
      </w:r>
      <w:r w:rsidR="008C0855">
        <w:t>.  First, the plain language and structure of the Copyrig</w:t>
      </w:r>
      <w:r w:rsidR="00AB697E">
        <w:t>ht Act require that a work-for-</w:t>
      </w:r>
      <w:r w:rsidR="008C0855">
        <w:t xml:space="preserve">hire agreement precede the creation of the work.  Second, this interpretation is </w:t>
      </w:r>
      <w:r w:rsidR="00611C86">
        <w:t>supported</w:t>
      </w:r>
      <w:r w:rsidR="008C0855">
        <w:t xml:space="preserve"> by Congress’</w:t>
      </w:r>
      <w:r w:rsidR="00FD7001">
        <w:t>s</w:t>
      </w:r>
      <w:r w:rsidR="008C0855">
        <w:t xml:space="preserve"> </w:t>
      </w:r>
      <w:r w:rsidR="00611C86">
        <w:t>broad goals of predictability and protection of author’s rights combined with</w:t>
      </w:r>
      <w:r w:rsidR="008C0855">
        <w:t xml:space="preserve"> </w:t>
      </w:r>
      <w:r w:rsidR="00611C86">
        <w:t>its specific statements on the Act</w:t>
      </w:r>
      <w:r w:rsidR="008C0855">
        <w:t xml:space="preserve">.  Third, public policy demands </w:t>
      </w:r>
      <w:r w:rsidR="00AB697E">
        <w:t>that work-for-</w:t>
      </w:r>
      <w:r w:rsidR="008C0855">
        <w:t xml:space="preserve">hire agreements precede the creation of the work in order to protect authors who are already in a precarious bargaining situation.  </w:t>
      </w:r>
    </w:p>
    <w:p w14:paraId="4BA07A01" w14:textId="77777777" w:rsidR="00546805" w:rsidRDefault="00611C86" w:rsidP="00611C86">
      <w:pPr>
        <w:spacing w:line="480" w:lineRule="auto"/>
        <w:jc w:val="both"/>
      </w:pPr>
      <w:r>
        <w:tab/>
        <w:t xml:space="preserve">If the Court adopts such an interpretation, the writing Ms. Lime signed after the creation of the screenplay “Anticipatory Repudiation” did not comply with </w:t>
      </w:r>
      <w:r w:rsidR="00242B31">
        <w:t xml:space="preserve">§ </w:t>
      </w:r>
      <w:r>
        <w:t xml:space="preserve">101(2).  </w:t>
      </w:r>
      <w:r w:rsidR="007E02FB">
        <w:t xml:space="preserve">As a result, Plaintiff is not considered the author of the screenplay and has no copyright protection under </w:t>
      </w:r>
      <w:r w:rsidR="00242B31">
        <w:t>§ </w:t>
      </w:r>
      <w:r w:rsidR="007E02FB">
        <w:t>201(b).  Therefore, Defendants could not have violated Plaintiff’s alleged copyright.  Thus, the Court should grant Defendants’ Motion to Dismiss the Plaintiff’s claim.</w:t>
      </w:r>
    </w:p>
    <w:p w14:paraId="6675562C" w14:textId="77777777" w:rsidR="00003AE8" w:rsidRDefault="00003AE8" w:rsidP="008C0855">
      <w:pPr>
        <w:tabs>
          <w:tab w:val="left" w:pos="4680"/>
        </w:tabs>
        <w:rPr>
          <w:sz w:val="26"/>
        </w:rPr>
      </w:pPr>
    </w:p>
    <w:p w14:paraId="3E77BFB5" w14:textId="77777777" w:rsidR="008C0855" w:rsidRPr="00E20999" w:rsidRDefault="008C0855" w:rsidP="00E20999">
      <w:pPr>
        <w:spacing w:line="240" w:lineRule="atLeast"/>
        <w:ind w:left="4680"/>
        <w:rPr>
          <w:sz w:val="26"/>
        </w:rPr>
      </w:pPr>
    </w:p>
    <w:sectPr w:rsidR="008C0855" w:rsidRPr="00E20999" w:rsidSect="00E36C37">
      <w:type w:val="continuous"/>
      <w:pgSz w:w="12240" w:h="15840"/>
      <w:pgMar w:top="1440" w:right="1440" w:bottom="1440" w:left="1440" w:header="720" w:footer="720" w:gutter="0"/>
      <w:cols w:space="720"/>
      <w:docGrid w:linePitch="65"/>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621783" w14:textId="77777777" w:rsidR="00096FFE" w:rsidRDefault="00096FFE" w:rsidP="00D427F4">
      <w:r>
        <w:separator/>
      </w:r>
    </w:p>
  </w:endnote>
  <w:endnote w:type="continuationSeparator" w:id="0">
    <w:p w14:paraId="4684AA27" w14:textId="77777777" w:rsidR="00096FFE" w:rsidRDefault="00096FFE" w:rsidP="00D42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E92BA3" w14:textId="77777777" w:rsidR="00B323BB" w:rsidRDefault="00B323BB" w:rsidP="00DF37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3BE934" w14:textId="77777777" w:rsidR="00B323BB" w:rsidRDefault="00B323B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B3E347" w14:textId="77777777" w:rsidR="00B323BB" w:rsidRDefault="00B323BB" w:rsidP="00DF37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27433">
      <w:rPr>
        <w:rStyle w:val="PageNumber"/>
        <w:noProof/>
      </w:rPr>
      <w:t>1</w:t>
    </w:r>
    <w:r>
      <w:rPr>
        <w:rStyle w:val="PageNumber"/>
      </w:rPr>
      <w:fldChar w:fldCharType="end"/>
    </w:r>
  </w:p>
  <w:p w14:paraId="6D22D263" w14:textId="77777777" w:rsidR="00B323BB" w:rsidRDefault="00B323B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0267E9" w14:textId="77777777" w:rsidR="00096FFE" w:rsidRDefault="00096FFE" w:rsidP="00D427F4">
      <w:r>
        <w:separator/>
      </w:r>
    </w:p>
  </w:footnote>
  <w:footnote w:type="continuationSeparator" w:id="0">
    <w:p w14:paraId="19FBEDB6" w14:textId="77777777" w:rsidR="00096FFE" w:rsidRDefault="00096FFE" w:rsidP="00D427F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1D547D"/>
    <w:multiLevelType w:val="multilevel"/>
    <w:tmpl w:val="44C2214A"/>
    <w:lvl w:ilvl="0">
      <w:start w:val="1"/>
      <w:numFmt w:val="upperRoman"/>
      <w:pStyle w:val="Heading1"/>
      <w:lvlText w:val="%1."/>
      <w:lvlJc w:val="left"/>
      <w:pPr>
        <w:ind w:left="0" w:firstLine="0"/>
      </w:pPr>
      <w:rPr>
        <w:rFonts w:hint="default"/>
      </w:rPr>
    </w:lvl>
    <w:lvl w:ilvl="1">
      <w:start w:val="1"/>
      <w:numFmt w:val="upperLetter"/>
      <w:pStyle w:val="Heading2"/>
      <w:lvlText w:val="%2."/>
      <w:lvlJc w:val="left"/>
      <w:pPr>
        <w:ind w:left="720" w:firstLine="0"/>
      </w:pPr>
      <w:rPr>
        <w:b/>
      </w:r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drawingGridHorizontalSpacing w:val="187"/>
  <w:drawingGridVerticalSpacing w:val="18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677"/>
    <w:rsid w:val="00003AE8"/>
    <w:rsid w:val="00003BA1"/>
    <w:rsid w:val="0000715D"/>
    <w:rsid w:val="00033913"/>
    <w:rsid w:val="00074BC2"/>
    <w:rsid w:val="00096FFE"/>
    <w:rsid w:val="000A4CE9"/>
    <w:rsid w:val="000B1682"/>
    <w:rsid w:val="000C479B"/>
    <w:rsid w:val="000E4DA7"/>
    <w:rsid w:val="00106FA7"/>
    <w:rsid w:val="001375D6"/>
    <w:rsid w:val="00140B86"/>
    <w:rsid w:val="00144D87"/>
    <w:rsid w:val="00153DC6"/>
    <w:rsid w:val="00155E5A"/>
    <w:rsid w:val="00157CB2"/>
    <w:rsid w:val="00166802"/>
    <w:rsid w:val="00177CE5"/>
    <w:rsid w:val="00183BAB"/>
    <w:rsid w:val="001B6B9E"/>
    <w:rsid w:val="001C1CB4"/>
    <w:rsid w:val="001F6123"/>
    <w:rsid w:val="002050D0"/>
    <w:rsid w:val="002331DF"/>
    <w:rsid w:val="00236812"/>
    <w:rsid w:val="00242B31"/>
    <w:rsid w:val="00262FE6"/>
    <w:rsid w:val="00281B46"/>
    <w:rsid w:val="002A3E92"/>
    <w:rsid w:val="002A67AF"/>
    <w:rsid w:val="002D4DA8"/>
    <w:rsid w:val="002D7C99"/>
    <w:rsid w:val="003112E7"/>
    <w:rsid w:val="00327433"/>
    <w:rsid w:val="003713CC"/>
    <w:rsid w:val="0038606F"/>
    <w:rsid w:val="003A20BC"/>
    <w:rsid w:val="003A3ADF"/>
    <w:rsid w:val="003A7B7C"/>
    <w:rsid w:val="003B11A5"/>
    <w:rsid w:val="003C5271"/>
    <w:rsid w:val="003D0A67"/>
    <w:rsid w:val="003D51D6"/>
    <w:rsid w:val="003D5A7B"/>
    <w:rsid w:val="003E09A8"/>
    <w:rsid w:val="003F4014"/>
    <w:rsid w:val="0040355A"/>
    <w:rsid w:val="0043360F"/>
    <w:rsid w:val="004404CD"/>
    <w:rsid w:val="0044279B"/>
    <w:rsid w:val="00443677"/>
    <w:rsid w:val="004561E3"/>
    <w:rsid w:val="00465363"/>
    <w:rsid w:val="00495E8F"/>
    <w:rsid w:val="004A21A2"/>
    <w:rsid w:val="004A3E3A"/>
    <w:rsid w:val="004B295E"/>
    <w:rsid w:val="004D2A5E"/>
    <w:rsid w:val="0050162D"/>
    <w:rsid w:val="00512A50"/>
    <w:rsid w:val="005235EE"/>
    <w:rsid w:val="005348D6"/>
    <w:rsid w:val="00536373"/>
    <w:rsid w:val="00537F13"/>
    <w:rsid w:val="00546805"/>
    <w:rsid w:val="00550D26"/>
    <w:rsid w:val="0057700E"/>
    <w:rsid w:val="0059156F"/>
    <w:rsid w:val="005925BC"/>
    <w:rsid w:val="0059520D"/>
    <w:rsid w:val="005A2695"/>
    <w:rsid w:val="005A6618"/>
    <w:rsid w:val="005B31F3"/>
    <w:rsid w:val="005C5283"/>
    <w:rsid w:val="005D4B25"/>
    <w:rsid w:val="005D783C"/>
    <w:rsid w:val="00605F0C"/>
    <w:rsid w:val="00611C86"/>
    <w:rsid w:val="00613C9A"/>
    <w:rsid w:val="00642180"/>
    <w:rsid w:val="00652CB7"/>
    <w:rsid w:val="00674234"/>
    <w:rsid w:val="00686B53"/>
    <w:rsid w:val="006B32BF"/>
    <w:rsid w:val="006F6440"/>
    <w:rsid w:val="00713E4D"/>
    <w:rsid w:val="0072476A"/>
    <w:rsid w:val="00727347"/>
    <w:rsid w:val="007357DE"/>
    <w:rsid w:val="00767D2D"/>
    <w:rsid w:val="007713AE"/>
    <w:rsid w:val="007733EF"/>
    <w:rsid w:val="00787059"/>
    <w:rsid w:val="007D0399"/>
    <w:rsid w:val="007D4C21"/>
    <w:rsid w:val="007E02FB"/>
    <w:rsid w:val="007E5C8D"/>
    <w:rsid w:val="00812C7A"/>
    <w:rsid w:val="008212D3"/>
    <w:rsid w:val="00834CBC"/>
    <w:rsid w:val="00840DB7"/>
    <w:rsid w:val="00842639"/>
    <w:rsid w:val="0084268A"/>
    <w:rsid w:val="00883D5B"/>
    <w:rsid w:val="008A502C"/>
    <w:rsid w:val="008A7325"/>
    <w:rsid w:val="008B7169"/>
    <w:rsid w:val="008C0855"/>
    <w:rsid w:val="008C5FC0"/>
    <w:rsid w:val="008D1B4C"/>
    <w:rsid w:val="008F08EE"/>
    <w:rsid w:val="008F13EB"/>
    <w:rsid w:val="008F1AD1"/>
    <w:rsid w:val="009466AC"/>
    <w:rsid w:val="00953F60"/>
    <w:rsid w:val="00960427"/>
    <w:rsid w:val="00970834"/>
    <w:rsid w:val="009713E6"/>
    <w:rsid w:val="009755D8"/>
    <w:rsid w:val="009928CB"/>
    <w:rsid w:val="009C14AB"/>
    <w:rsid w:val="009D6FD7"/>
    <w:rsid w:val="00A13B03"/>
    <w:rsid w:val="00A17EDA"/>
    <w:rsid w:val="00A20F5B"/>
    <w:rsid w:val="00A273A2"/>
    <w:rsid w:val="00A40E7E"/>
    <w:rsid w:val="00A559C4"/>
    <w:rsid w:val="00A565C3"/>
    <w:rsid w:val="00A75DA6"/>
    <w:rsid w:val="00A85887"/>
    <w:rsid w:val="00A90263"/>
    <w:rsid w:val="00A9438F"/>
    <w:rsid w:val="00AA2B61"/>
    <w:rsid w:val="00AA35A3"/>
    <w:rsid w:val="00AB13CD"/>
    <w:rsid w:val="00AB697E"/>
    <w:rsid w:val="00AC490D"/>
    <w:rsid w:val="00AC4C61"/>
    <w:rsid w:val="00AE45B5"/>
    <w:rsid w:val="00B323BB"/>
    <w:rsid w:val="00B32A19"/>
    <w:rsid w:val="00B477FA"/>
    <w:rsid w:val="00B529BD"/>
    <w:rsid w:val="00B556E2"/>
    <w:rsid w:val="00B6458A"/>
    <w:rsid w:val="00B70041"/>
    <w:rsid w:val="00B74CA5"/>
    <w:rsid w:val="00BA446B"/>
    <w:rsid w:val="00BD26B4"/>
    <w:rsid w:val="00C3153A"/>
    <w:rsid w:val="00C43627"/>
    <w:rsid w:val="00CC3336"/>
    <w:rsid w:val="00D171AD"/>
    <w:rsid w:val="00D262F1"/>
    <w:rsid w:val="00D3288E"/>
    <w:rsid w:val="00D427F4"/>
    <w:rsid w:val="00D72260"/>
    <w:rsid w:val="00D76FBB"/>
    <w:rsid w:val="00D95A6E"/>
    <w:rsid w:val="00DA2DC9"/>
    <w:rsid w:val="00DC2C1B"/>
    <w:rsid w:val="00DC2D58"/>
    <w:rsid w:val="00DE4968"/>
    <w:rsid w:val="00DF37BB"/>
    <w:rsid w:val="00E002D0"/>
    <w:rsid w:val="00E125E6"/>
    <w:rsid w:val="00E15A3A"/>
    <w:rsid w:val="00E16F96"/>
    <w:rsid w:val="00E20999"/>
    <w:rsid w:val="00E36C37"/>
    <w:rsid w:val="00E449A4"/>
    <w:rsid w:val="00E81AAF"/>
    <w:rsid w:val="00EB13F0"/>
    <w:rsid w:val="00EC60EB"/>
    <w:rsid w:val="00EE302E"/>
    <w:rsid w:val="00EE527D"/>
    <w:rsid w:val="00EF1857"/>
    <w:rsid w:val="00F16439"/>
    <w:rsid w:val="00F30FEF"/>
    <w:rsid w:val="00F36157"/>
    <w:rsid w:val="00F41999"/>
    <w:rsid w:val="00F441EF"/>
    <w:rsid w:val="00F70CC1"/>
    <w:rsid w:val="00FA27D4"/>
    <w:rsid w:val="00FA5ACE"/>
    <w:rsid w:val="00FC200C"/>
    <w:rsid w:val="00FC3C1C"/>
    <w:rsid w:val="00FD70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8DE9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677"/>
    <w:rPr>
      <w:rFonts w:ascii="Times New Roman" w:eastAsia="Times New Roman" w:hAnsi="Times New Roman"/>
      <w:sz w:val="24"/>
      <w:szCs w:val="24"/>
    </w:rPr>
  </w:style>
  <w:style w:type="paragraph" w:styleId="Heading1">
    <w:name w:val="heading 1"/>
    <w:basedOn w:val="Normal"/>
    <w:next w:val="Normal"/>
    <w:link w:val="Heading1Char"/>
    <w:uiPriority w:val="9"/>
    <w:qFormat/>
    <w:rsid w:val="00613C9A"/>
    <w:pPr>
      <w:widowControl w:val="0"/>
      <w:numPr>
        <w:numId w:val="1"/>
      </w:numPr>
      <w:spacing w:before="100" w:beforeAutospacing="1" w:after="100" w:afterAutospacing="1"/>
      <w:outlineLvl w:val="0"/>
    </w:pPr>
    <w:rPr>
      <w:rFonts w:eastAsiaTheme="majorEastAsia" w:cstheme="majorBidi"/>
      <w:b/>
      <w:bCs/>
      <w:smallCaps/>
      <w:szCs w:val="28"/>
    </w:rPr>
  </w:style>
  <w:style w:type="paragraph" w:styleId="Heading2">
    <w:name w:val="heading 2"/>
    <w:basedOn w:val="Normal"/>
    <w:next w:val="Normal"/>
    <w:link w:val="Heading2Char"/>
    <w:uiPriority w:val="9"/>
    <w:unhideWhenUsed/>
    <w:qFormat/>
    <w:rsid w:val="002D7C99"/>
    <w:pPr>
      <w:keepNext/>
      <w:keepLines/>
      <w:numPr>
        <w:ilvl w:val="1"/>
        <w:numId w:val="1"/>
      </w:numPr>
      <w:spacing w:before="20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2D7C99"/>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D7C99"/>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D7C99"/>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D7C9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D7C9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D7C99"/>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D7C9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3677"/>
    <w:pPr>
      <w:tabs>
        <w:tab w:val="center" w:pos="4320"/>
        <w:tab w:val="right" w:pos="8640"/>
      </w:tabs>
    </w:pPr>
  </w:style>
  <w:style w:type="character" w:customStyle="1" w:styleId="FooterChar">
    <w:name w:val="Footer Char"/>
    <w:link w:val="Footer"/>
    <w:uiPriority w:val="99"/>
    <w:rsid w:val="00443677"/>
    <w:rPr>
      <w:rFonts w:ascii="Times New Roman" w:eastAsia="Times New Roman" w:hAnsi="Times New Roman" w:cs="Times New Roman"/>
      <w:sz w:val="24"/>
      <w:szCs w:val="24"/>
    </w:rPr>
  </w:style>
  <w:style w:type="character" w:styleId="PageNumber">
    <w:name w:val="page number"/>
    <w:uiPriority w:val="99"/>
    <w:rsid w:val="00443677"/>
    <w:rPr>
      <w:rFonts w:cs="Times New Roman"/>
    </w:rPr>
  </w:style>
  <w:style w:type="character" w:styleId="CommentReference">
    <w:name w:val="annotation reference"/>
    <w:uiPriority w:val="99"/>
    <w:semiHidden/>
    <w:rsid w:val="00443677"/>
    <w:rPr>
      <w:rFonts w:cs="Times New Roman"/>
      <w:sz w:val="16"/>
      <w:szCs w:val="16"/>
    </w:rPr>
  </w:style>
  <w:style w:type="paragraph" w:styleId="CommentText">
    <w:name w:val="annotation text"/>
    <w:basedOn w:val="Normal"/>
    <w:link w:val="CommentTextChar"/>
    <w:uiPriority w:val="99"/>
    <w:semiHidden/>
    <w:rsid w:val="00443677"/>
    <w:rPr>
      <w:sz w:val="20"/>
      <w:szCs w:val="20"/>
    </w:rPr>
  </w:style>
  <w:style w:type="character" w:customStyle="1" w:styleId="CommentTextChar">
    <w:name w:val="Comment Text Char"/>
    <w:link w:val="CommentText"/>
    <w:uiPriority w:val="99"/>
    <w:semiHidden/>
    <w:rsid w:val="00443677"/>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443677"/>
    <w:rPr>
      <w:rFonts w:ascii="Tahoma" w:hAnsi="Tahoma" w:cs="Tahoma"/>
      <w:sz w:val="16"/>
      <w:szCs w:val="16"/>
    </w:rPr>
  </w:style>
  <w:style w:type="character" w:customStyle="1" w:styleId="BalloonTextChar">
    <w:name w:val="Balloon Text Char"/>
    <w:link w:val="BalloonText"/>
    <w:uiPriority w:val="99"/>
    <w:semiHidden/>
    <w:rsid w:val="00443677"/>
    <w:rPr>
      <w:rFonts w:ascii="Tahoma" w:eastAsia="Times New Roman" w:hAnsi="Tahoma" w:cs="Tahoma"/>
      <w:sz w:val="16"/>
      <w:szCs w:val="16"/>
    </w:rPr>
  </w:style>
  <w:style w:type="character" w:styleId="Hyperlink">
    <w:name w:val="Hyperlink"/>
    <w:basedOn w:val="DefaultParagraphFont"/>
    <w:uiPriority w:val="99"/>
    <w:unhideWhenUsed/>
    <w:rsid w:val="008212D3"/>
    <w:rPr>
      <w:color w:val="0000FF" w:themeColor="hyperlink"/>
      <w:u w:val="single"/>
    </w:rPr>
  </w:style>
  <w:style w:type="paragraph" w:styleId="ListParagraph">
    <w:name w:val="List Paragraph"/>
    <w:basedOn w:val="Normal"/>
    <w:uiPriority w:val="34"/>
    <w:qFormat/>
    <w:rsid w:val="002D7C99"/>
    <w:pPr>
      <w:ind w:left="720"/>
      <w:contextualSpacing/>
    </w:pPr>
  </w:style>
  <w:style w:type="character" w:customStyle="1" w:styleId="Heading1Char">
    <w:name w:val="Heading 1 Char"/>
    <w:basedOn w:val="DefaultParagraphFont"/>
    <w:link w:val="Heading1"/>
    <w:uiPriority w:val="9"/>
    <w:rsid w:val="00613C9A"/>
    <w:rPr>
      <w:rFonts w:ascii="Times New Roman" w:eastAsiaTheme="majorEastAsia" w:hAnsi="Times New Roman" w:cstheme="majorBidi"/>
      <w:b/>
      <w:bCs/>
      <w:smallCaps/>
      <w:sz w:val="24"/>
      <w:szCs w:val="28"/>
    </w:rPr>
  </w:style>
  <w:style w:type="character" w:customStyle="1" w:styleId="Heading2Char">
    <w:name w:val="Heading 2 Char"/>
    <w:basedOn w:val="DefaultParagraphFont"/>
    <w:link w:val="Heading2"/>
    <w:uiPriority w:val="9"/>
    <w:rsid w:val="002D7C99"/>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semiHidden/>
    <w:rsid w:val="002D7C99"/>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sid w:val="002D7C99"/>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sid w:val="002D7C99"/>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D7C99"/>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2D7C99"/>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2D7C99"/>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2D7C99"/>
    <w:rPr>
      <w:rFonts w:asciiTheme="majorHAnsi" w:eastAsiaTheme="majorEastAsia" w:hAnsiTheme="majorHAnsi" w:cstheme="majorBidi"/>
      <w:i/>
      <w:iCs/>
      <w:color w:val="404040" w:themeColor="text1" w:themeTint="BF"/>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677"/>
    <w:rPr>
      <w:rFonts w:ascii="Times New Roman" w:eastAsia="Times New Roman" w:hAnsi="Times New Roman"/>
      <w:sz w:val="24"/>
      <w:szCs w:val="24"/>
    </w:rPr>
  </w:style>
  <w:style w:type="paragraph" w:styleId="Heading1">
    <w:name w:val="heading 1"/>
    <w:basedOn w:val="Normal"/>
    <w:next w:val="Normal"/>
    <w:link w:val="Heading1Char"/>
    <w:uiPriority w:val="9"/>
    <w:qFormat/>
    <w:rsid w:val="00613C9A"/>
    <w:pPr>
      <w:widowControl w:val="0"/>
      <w:numPr>
        <w:numId w:val="1"/>
      </w:numPr>
      <w:spacing w:before="100" w:beforeAutospacing="1" w:after="100" w:afterAutospacing="1"/>
      <w:outlineLvl w:val="0"/>
    </w:pPr>
    <w:rPr>
      <w:rFonts w:eastAsiaTheme="majorEastAsia" w:cstheme="majorBidi"/>
      <w:b/>
      <w:bCs/>
      <w:smallCaps/>
      <w:szCs w:val="28"/>
    </w:rPr>
  </w:style>
  <w:style w:type="paragraph" w:styleId="Heading2">
    <w:name w:val="heading 2"/>
    <w:basedOn w:val="Normal"/>
    <w:next w:val="Normal"/>
    <w:link w:val="Heading2Char"/>
    <w:uiPriority w:val="9"/>
    <w:unhideWhenUsed/>
    <w:qFormat/>
    <w:rsid w:val="002D7C99"/>
    <w:pPr>
      <w:keepNext/>
      <w:keepLines/>
      <w:numPr>
        <w:ilvl w:val="1"/>
        <w:numId w:val="1"/>
      </w:numPr>
      <w:spacing w:before="200"/>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2D7C99"/>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D7C99"/>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D7C99"/>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D7C9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D7C9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D7C99"/>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D7C9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3677"/>
    <w:pPr>
      <w:tabs>
        <w:tab w:val="center" w:pos="4320"/>
        <w:tab w:val="right" w:pos="8640"/>
      </w:tabs>
    </w:pPr>
  </w:style>
  <w:style w:type="character" w:customStyle="1" w:styleId="FooterChar">
    <w:name w:val="Footer Char"/>
    <w:link w:val="Footer"/>
    <w:uiPriority w:val="99"/>
    <w:rsid w:val="00443677"/>
    <w:rPr>
      <w:rFonts w:ascii="Times New Roman" w:eastAsia="Times New Roman" w:hAnsi="Times New Roman" w:cs="Times New Roman"/>
      <w:sz w:val="24"/>
      <w:szCs w:val="24"/>
    </w:rPr>
  </w:style>
  <w:style w:type="character" w:styleId="PageNumber">
    <w:name w:val="page number"/>
    <w:uiPriority w:val="99"/>
    <w:rsid w:val="00443677"/>
    <w:rPr>
      <w:rFonts w:cs="Times New Roman"/>
    </w:rPr>
  </w:style>
  <w:style w:type="character" w:styleId="CommentReference">
    <w:name w:val="annotation reference"/>
    <w:uiPriority w:val="99"/>
    <w:semiHidden/>
    <w:rsid w:val="00443677"/>
    <w:rPr>
      <w:rFonts w:cs="Times New Roman"/>
      <w:sz w:val="16"/>
      <w:szCs w:val="16"/>
    </w:rPr>
  </w:style>
  <w:style w:type="paragraph" w:styleId="CommentText">
    <w:name w:val="annotation text"/>
    <w:basedOn w:val="Normal"/>
    <w:link w:val="CommentTextChar"/>
    <w:uiPriority w:val="99"/>
    <w:semiHidden/>
    <w:rsid w:val="00443677"/>
    <w:rPr>
      <w:sz w:val="20"/>
      <w:szCs w:val="20"/>
    </w:rPr>
  </w:style>
  <w:style w:type="character" w:customStyle="1" w:styleId="CommentTextChar">
    <w:name w:val="Comment Text Char"/>
    <w:link w:val="CommentText"/>
    <w:uiPriority w:val="99"/>
    <w:semiHidden/>
    <w:rsid w:val="00443677"/>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443677"/>
    <w:rPr>
      <w:rFonts w:ascii="Tahoma" w:hAnsi="Tahoma" w:cs="Tahoma"/>
      <w:sz w:val="16"/>
      <w:szCs w:val="16"/>
    </w:rPr>
  </w:style>
  <w:style w:type="character" w:customStyle="1" w:styleId="BalloonTextChar">
    <w:name w:val="Balloon Text Char"/>
    <w:link w:val="BalloonText"/>
    <w:uiPriority w:val="99"/>
    <w:semiHidden/>
    <w:rsid w:val="00443677"/>
    <w:rPr>
      <w:rFonts w:ascii="Tahoma" w:eastAsia="Times New Roman" w:hAnsi="Tahoma" w:cs="Tahoma"/>
      <w:sz w:val="16"/>
      <w:szCs w:val="16"/>
    </w:rPr>
  </w:style>
  <w:style w:type="character" w:styleId="Hyperlink">
    <w:name w:val="Hyperlink"/>
    <w:basedOn w:val="DefaultParagraphFont"/>
    <w:uiPriority w:val="99"/>
    <w:unhideWhenUsed/>
    <w:rsid w:val="008212D3"/>
    <w:rPr>
      <w:color w:val="0000FF" w:themeColor="hyperlink"/>
      <w:u w:val="single"/>
    </w:rPr>
  </w:style>
  <w:style w:type="paragraph" w:styleId="ListParagraph">
    <w:name w:val="List Paragraph"/>
    <w:basedOn w:val="Normal"/>
    <w:uiPriority w:val="34"/>
    <w:qFormat/>
    <w:rsid w:val="002D7C99"/>
    <w:pPr>
      <w:ind w:left="720"/>
      <w:contextualSpacing/>
    </w:pPr>
  </w:style>
  <w:style w:type="character" w:customStyle="1" w:styleId="Heading1Char">
    <w:name w:val="Heading 1 Char"/>
    <w:basedOn w:val="DefaultParagraphFont"/>
    <w:link w:val="Heading1"/>
    <w:uiPriority w:val="9"/>
    <w:rsid w:val="00613C9A"/>
    <w:rPr>
      <w:rFonts w:ascii="Times New Roman" w:eastAsiaTheme="majorEastAsia" w:hAnsi="Times New Roman" w:cstheme="majorBidi"/>
      <w:b/>
      <w:bCs/>
      <w:smallCaps/>
      <w:sz w:val="24"/>
      <w:szCs w:val="28"/>
    </w:rPr>
  </w:style>
  <w:style w:type="character" w:customStyle="1" w:styleId="Heading2Char">
    <w:name w:val="Heading 2 Char"/>
    <w:basedOn w:val="DefaultParagraphFont"/>
    <w:link w:val="Heading2"/>
    <w:uiPriority w:val="9"/>
    <w:rsid w:val="002D7C99"/>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semiHidden/>
    <w:rsid w:val="002D7C99"/>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sid w:val="002D7C99"/>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sid w:val="002D7C99"/>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D7C99"/>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2D7C99"/>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2D7C99"/>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2D7C99"/>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4423</Words>
  <Characters>23493</Characters>
  <Application>Microsoft Macintosh Word</Application>
  <DocSecurity>0</DocSecurity>
  <Lines>373</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28107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2012-03-21T02:38:00Z</cp:lastPrinted>
  <dcterms:created xsi:type="dcterms:W3CDTF">2012-04-15T14:05:00Z</dcterms:created>
  <dcterms:modified xsi:type="dcterms:W3CDTF">2012-06-02T13:16:00Z</dcterms:modified>
  <cp:category/>
</cp:coreProperties>
</file>